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CB0F">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Times New Roman" w:hAnsi="Times New Roman" w:eastAsia="微软雅黑" w:cs="Times New Roman"/>
          <w:b/>
          <w:bCs/>
          <w:sz w:val="36"/>
          <w:szCs w:val="36"/>
          <w:lang w:val="en-US" w:eastAsia="zh-CN"/>
        </w:rPr>
      </w:pPr>
      <w:bookmarkStart w:id="0" w:name="_GoBack"/>
      <w:bookmarkEnd w:id="0"/>
      <w:r>
        <w:rPr>
          <w:rFonts w:hint="default" w:ascii="Times New Roman" w:hAnsi="Times New Roman" w:eastAsia="微软雅黑" w:cs="Times New Roman"/>
          <w:b/>
          <w:bCs/>
          <w:sz w:val="36"/>
          <w:szCs w:val="36"/>
          <w:highlight w:val="none"/>
          <w:lang w:val="en-US" w:eastAsia="zh-CN"/>
        </w:rPr>
        <w:drawing>
          <wp:anchor distT="0" distB="0" distL="114300" distR="114300" simplePos="0" relativeHeight="251659264" behindDoc="0" locked="0" layoutInCell="1" allowOverlap="1">
            <wp:simplePos x="0" y="0"/>
            <wp:positionH relativeFrom="page">
              <wp:posOffset>12166600</wp:posOffset>
            </wp:positionH>
            <wp:positionV relativeFrom="topMargin">
              <wp:posOffset>11734800</wp:posOffset>
            </wp:positionV>
            <wp:extent cx="393700" cy="279400"/>
            <wp:effectExtent l="0" t="0" r="6350" b="6350"/>
            <wp:wrapNone/>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6"/>
                    <a:stretch>
                      <a:fillRect/>
                    </a:stretch>
                  </pic:blipFill>
                  <pic:spPr>
                    <a:xfrm>
                      <a:off x="0" y="0"/>
                      <a:ext cx="393700" cy="2794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1312"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2336"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3360"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eastAsia="zh-CN"/>
        </w:rPr>
        <w:t>宝典</w:t>
      </w:r>
      <w:r>
        <w:rPr>
          <w:rFonts w:hint="default" w:ascii="Times New Roman" w:hAnsi="Times New Roman" w:eastAsia="微软雅黑" w:cs="Times New Roman"/>
          <w:b/>
          <w:bCs/>
          <w:sz w:val="36"/>
          <w:szCs w:val="36"/>
        </w:rPr>
        <w:t>0</w:t>
      </w:r>
      <w:r>
        <w:rPr>
          <w:rFonts w:hint="default" w:ascii="Times New Roman" w:hAnsi="Times New Roman" w:eastAsia="微软雅黑" w:cs="Times New Roman"/>
          <w:b/>
          <w:bCs/>
          <w:sz w:val="36"/>
          <w:szCs w:val="36"/>
          <w:lang w:val="en-US" w:eastAsia="zh-CN"/>
        </w:rPr>
        <w:t xml:space="preserve">1  </w:t>
      </w:r>
      <w:r>
        <w:rPr>
          <w:rFonts w:hint="default" w:ascii="Times New Roman" w:hAnsi="Times New Roman" w:eastAsia="微软雅黑" w:cs="Times New Roman"/>
          <w:b/>
          <w:sz w:val="36"/>
          <w:szCs w:val="36"/>
          <w:lang w:val="en-US" w:eastAsia="zh-CN"/>
        </w:rPr>
        <w:t>细胞的</w:t>
      </w:r>
      <w:r>
        <w:rPr>
          <w:rFonts w:hint="eastAsia" w:ascii="Times New Roman" w:hAnsi="Times New Roman" w:eastAsia="微软雅黑" w:cs="Times New Roman"/>
          <w:b/>
          <w:sz w:val="36"/>
          <w:szCs w:val="36"/>
          <w:lang w:val="en-US" w:eastAsia="zh-CN"/>
        </w:rPr>
        <w:t>分子组成、</w:t>
      </w:r>
      <w:r>
        <w:rPr>
          <w:rFonts w:hint="default" w:ascii="Times New Roman" w:hAnsi="Times New Roman" w:eastAsia="微软雅黑" w:cs="Times New Roman"/>
          <w:b/>
          <w:sz w:val="36"/>
          <w:szCs w:val="36"/>
          <w:lang w:val="en-US" w:eastAsia="zh-CN"/>
        </w:rPr>
        <w:t>基本结构和物质运输</w:t>
      </w:r>
    </w:p>
    <w:p w14:paraId="6796B9C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kern w:val="0"/>
          <w:sz w:val="44"/>
          <w:szCs w:val="44"/>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2703830</wp:posOffset>
                </wp:positionH>
                <wp:positionV relativeFrom="paragraph">
                  <wp:posOffset>155575</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9pt;margin-top:12.25pt;height:16.5pt;width:0pt;z-index:251660288;mso-width-relative:page;mso-height-relative:page;" filled="f" stroked="t" coordsize="21600,21600" o:gfxdata="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Sc1j1QAA&#10;AAkBAAAPAAAAAAAAAAEAIAAAACIAAABkcnMvZG93bnJldi54bWxQSwECFAAUAAAACACHTuJAITU4&#10;T+gBAACoAwAADgAAAAAAAAABACAAAAAkAQAAZHJzL2Uyb0RvYy54bWxQSwUGAAAAAAYABgBZAQAA&#10;fgUAAAAA&#10;">
                <v:fill on="f" focussize="0,0"/>
                <v:stroke weight="2pt" color="#4F81BD [3204]" joinstyle="round"/>
                <v:imagedata o:title=""/>
                <o:lock v:ext="edit" aspectratio="f"/>
              </v:line>
            </w:pict>
          </mc:Fallback>
        </mc:AlternateContent>
      </w:r>
      <w:r>
        <w:rPr>
          <w:rFonts w:hint="default" w:ascii="Times New Roman" w:hAnsi="Times New Roman" w:cs="Times New Roman"/>
          <w:sz w:val="21"/>
        </w:rPr>
        <mc:AlternateContent>
          <mc:Choice Requires="wps">
            <w:drawing>
              <wp:inline distT="0" distB="0" distL="114300" distR="114300">
                <wp:extent cx="6102985" cy="2814320"/>
                <wp:effectExtent l="6350" t="6350" r="12065" b="24130"/>
                <wp:docPr id="63" name="文本框 7"/>
                <wp:cNvGraphicFramePr/>
                <a:graphic xmlns:a="http://schemas.openxmlformats.org/drawingml/2006/main">
                  <a:graphicData uri="http://schemas.microsoft.com/office/word/2010/wordprocessingShape">
                    <wps:wsp>
                      <wps:cNvSpPr txBox="1"/>
                      <wps:spPr>
                        <a:xfrm>
                          <a:off x="900430" y="1517015"/>
                          <a:ext cx="6102985" cy="2814320"/>
                        </a:xfrm>
                        <a:prstGeom prst="rect">
                          <a:avLst/>
                        </a:prstGeom>
                        <a:noFill/>
                        <a:ln w="12700">
                          <a:solidFill>
                            <a:srgbClr val="C00000"/>
                          </a:solidFill>
                          <a:prstDash val="lgDashDotDot"/>
                        </a:ln>
                      </wps:spPr>
                      <wps:txbx>
                        <w:txbxContent>
                          <w:p w14:paraId="5009F3E6">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C00000"/>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15CD0582">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第一部分 命题</w:t>
                            </w:r>
                            <w:r>
                              <w:rPr>
                                <w:rFonts w:hint="eastAsia" w:ascii="微软雅黑" w:hAnsi="微软雅黑" w:eastAsia="微软雅黑" w:cs="微软雅黑"/>
                                <w:b/>
                                <w:bCs/>
                                <w:color w:val="C00000"/>
                                <w:sz w:val="24"/>
                                <w:szCs w:val="24"/>
                                <w:highlight w:val="none"/>
                                <w:lang w:val="en-US" w:eastAsia="zh-CN"/>
                              </w:rPr>
                              <w:t>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拆解命题逻辑，锁定突破方向</w:t>
                            </w:r>
                          </w:p>
                          <w:p w14:paraId="15711D92">
                            <w:pPr>
                              <w:spacing w:line="360" w:lineRule="auto"/>
                              <w:jc w:val="left"/>
                              <w:rPr>
                                <w:rFonts w:hint="default" w:ascii="微软雅黑" w:hAnsi="微软雅黑" w:eastAsia="微软雅黑" w:cs="微软雅黑"/>
                                <w:b/>
                                <w:bCs/>
                                <w:color w:val="C00000"/>
                                <w:sz w:val="24"/>
                                <w:szCs w:val="24"/>
                                <w:highlight w:val="green"/>
                                <w:lang w:val="en-US" w:eastAsia="zh-CN"/>
                              </w:rPr>
                            </w:pPr>
                            <w:r>
                              <w:rPr>
                                <w:rFonts w:hint="eastAsia" w:ascii="微软雅黑" w:hAnsi="微软雅黑" w:eastAsia="微软雅黑" w:cs="微软雅黑"/>
                                <w:b/>
                                <w:bCs/>
                                <w:color w:val="C00000"/>
                                <w:sz w:val="24"/>
                                <w:szCs w:val="24"/>
                                <w:lang w:val="en-US" w:eastAsia="zh-CN"/>
                              </w:rPr>
                              <w:t xml:space="preserve">第二部分 </w:t>
                            </w:r>
                            <w:r>
                              <w:rPr>
                                <w:rFonts w:hint="eastAsia" w:ascii="微软雅黑" w:hAnsi="微软雅黑" w:eastAsia="微软雅黑" w:cs="微软雅黑"/>
                                <w:b/>
                                <w:bCs/>
                                <w:color w:val="C00000"/>
                                <w:sz w:val="24"/>
                                <w:szCs w:val="24"/>
                                <w:highlight w:val="none"/>
                                <w:lang w:val="en-US" w:eastAsia="zh-CN"/>
                              </w:rPr>
                              <w:t xml:space="preserve">要点清单 </w:t>
                            </w:r>
                            <w:r>
                              <w:rPr>
                                <w:rFonts w:hint="eastAsia" w:ascii="仿宋" w:hAnsi="仿宋" w:eastAsia="仿宋" w:cs="仿宋"/>
                                <w:b/>
                                <w:bCs/>
                                <w:color w:val="F4B50A"/>
                                <w:sz w:val="22"/>
                                <w:szCs w:val="22"/>
                                <w:lang w:val="en-US" w:eastAsia="zh-CN"/>
                              </w:rPr>
                              <w:t>整合知识要点，构建基础框架</w:t>
                            </w:r>
                          </w:p>
                          <w:p w14:paraId="45099678">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第三部分 大招清单</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搭建思维体系，提炼通用大招</w:t>
                            </w:r>
                          </w:p>
                          <w:p w14:paraId="4ADED814">
                            <w:pPr>
                              <w:keepNext w:val="0"/>
                              <w:keepLines w:val="0"/>
                              <w:pageBreakBefore w:val="0"/>
                              <w:widowControl/>
                              <w:suppressLineNumbers w:val="0"/>
                              <w:kinsoku/>
                              <w:wordWrap/>
                              <w:overflowPunct/>
                              <w:topLinePunct w:val="0"/>
                              <w:bidi w:val="0"/>
                              <w:adjustRightInd w:val="0"/>
                              <w:snapToGrid w:val="0"/>
                              <w:spacing w:line="360" w:lineRule="auto"/>
                              <w:ind w:firstLine="422"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79407152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7152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大招清单</w:t>
                            </w:r>
                            <w:r>
                              <w:rPr>
                                <w:rFonts w:hint="eastAsia" w:ascii="黑体" w:hAnsi="黑体" w:eastAsia="黑体" w:cs="黑体"/>
                                <w:b/>
                                <w:bCs/>
                                <w:color w:val="E46C0A" w:themeColor="accent6" w:themeShade="BF"/>
                                <w:kern w:val="0"/>
                                <w:sz w:val="21"/>
                                <w:szCs w:val="21"/>
                                <w:lang w:val="en-US" w:eastAsia="zh-CN" w:bidi="ar"/>
                              </w:rPr>
                              <w:t xml:space="preserve">  </w:t>
                            </w:r>
                            <w:r>
                              <w:drawing>
                                <wp:inline distT="0" distB="0" distL="114300" distR="114300">
                                  <wp:extent cx="182245" cy="182245"/>
                                  <wp:effectExtent l="0" t="0" r="20955" b="21590"/>
                                  <wp:docPr id="195282427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2427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母题精讲</w:t>
                            </w:r>
                            <w:r>
                              <w:rPr>
                                <w:rFonts w:hint="eastAsia" w:ascii="黑体" w:hAnsi="黑体" w:eastAsia="黑体" w:cs="黑体"/>
                                <w:b/>
                                <w:bCs/>
                                <w:color w:val="31859C" w:themeColor="accent5" w:themeShade="BF"/>
                                <w:kern w:val="0"/>
                                <w:sz w:val="18"/>
                                <w:szCs w:val="18"/>
                                <w:lang w:val="en-US" w:eastAsia="zh-CN" w:bidi="ar"/>
                              </w:rPr>
                              <w:t>（思路导航）</w:t>
                            </w: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20955" b="21590"/>
                                  <wp:docPr id="36725021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5021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变式应用</w:t>
                            </w:r>
                          </w:p>
                          <w:p w14:paraId="337744F3">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01 </w:t>
                            </w:r>
                            <w:r>
                              <w:rPr>
                                <w:rFonts w:hint="eastAsia" w:ascii="微软雅黑" w:hAnsi="微软雅黑" w:eastAsia="微软雅黑" w:cs="微软雅黑"/>
                                <w:lang w:val="en-US" w:eastAsia="zh-CN"/>
                              </w:rPr>
                              <w:t>四类生物学物质辨析</w:t>
                            </w:r>
                          </w:p>
                          <w:p w14:paraId="3EC8B060">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02 </w:t>
                            </w:r>
                            <w:r>
                              <w:rPr>
                                <w:rFonts w:hint="eastAsia" w:ascii="微软雅黑" w:hAnsi="微软雅黑" w:eastAsia="微软雅黑" w:cs="微软雅黑"/>
                                <w:lang w:val="en-US" w:eastAsia="zh-CN"/>
                              </w:rPr>
                              <w:t>通过蛋白质合成过程，理解细胞结构的分工协作</w:t>
                            </w:r>
                          </w:p>
                          <w:p w14:paraId="6870B103">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仿宋" w:hAnsi="仿宋" w:eastAsia="仿宋" w:cs="仿宋"/>
                                <w:b/>
                                <w:bCs/>
                                <w:color w:val="4F6228" w:themeColor="accent3" w:themeShade="80"/>
                                <w:kern w:val="2"/>
                                <w:sz w:val="22"/>
                                <w:szCs w:val="22"/>
                                <w:highlight w:val="green"/>
                                <w:lang w:val="en-US" w:eastAsia="zh-CN" w:bidi="ar-SA"/>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03 </w:t>
                            </w:r>
                            <w:r>
                              <w:rPr>
                                <w:rFonts w:hint="eastAsia" w:ascii="微软雅黑" w:hAnsi="微软雅黑" w:eastAsia="微软雅黑" w:cs="微软雅黑"/>
                                <w:lang w:val="en-US" w:eastAsia="zh-CN"/>
                              </w:rPr>
                              <w:t>提取信息巧判跨膜运输方式</w:t>
                            </w:r>
                          </w:p>
                        </w:txbxContent>
                      </wps:txbx>
                      <wps:bodyPr wrap="square" rtlCol="0" anchor="ctr"/>
                    </wps:wsp>
                  </a:graphicData>
                </a:graphic>
              </wp:inline>
            </w:drawing>
          </mc:Choice>
          <mc:Fallback>
            <w:pict>
              <v:shape id="文本框 7" o:spid="_x0000_s1026" o:spt="202" type="#_x0000_t202" style="height:221.6pt;width:480.55pt;v-text-anchor:middle;" filled="f" stroked="t" coordsize="21600,21600" o:gfxdata="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T45ddcAAAAFAQAADwAAAAAAAAABACAAAAAiAAAAZHJzL2Rvd25yZXYueG1s&#10;UEsBAhQAFAAAAAgAh07iQMMyArv5AQAAyAMAAA4AAAAAAAAAAQAgAAAAJgEAAGRycy9lMm9Eb2Mu&#10;eG1sUEsFBgAAAAAGAAYAWQEAAJEFAAAAAA==&#10;">
                <v:fill on="f" focussize="0,0"/>
                <v:stroke weight="1pt" color="#C00000" joinstyle="round" dashstyle="longDashDotDot"/>
                <v:imagedata o:title=""/>
                <o:lock v:ext="edit" aspectratio="f"/>
                <v:textbox>
                  <w:txbxContent>
                    <w:p w14:paraId="5009F3E6">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C00000"/>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15CD0582">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第一部分 命题</w:t>
                      </w:r>
                      <w:r>
                        <w:rPr>
                          <w:rFonts w:hint="eastAsia" w:ascii="微软雅黑" w:hAnsi="微软雅黑" w:eastAsia="微软雅黑" w:cs="微软雅黑"/>
                          <w:b/>
                          <w:bCs/>
                          <w:color w:val="C00000"/>
                          <w:sz w:val="24"/>
                          <w:szCs w:val="24"/>
                          <w:highlight w:val="none"/>
                          <w:lang w:val="en-US" w:eastAsia="zh-CN"/>
                        </w:rPr>
                        <w:t>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拆解命题逻辑，锁定突破方向</w:t>
                      </w:r>
                    </w:p>
                    <w:p w14:paraId="15711D92">
                      <w:pPr>
                        <w:spacing w:line="360" w:lineRule="auto"/>
                        <w:jc w:val="left"/>
                        <w:rPr>
                          <w:rFonts w:hint="default" w:ascii="微软雅黑" w:hAnsi="微软雅黑" w:eastAsia="微软雅黑" w:cs="微软雅黑"/>
                          <w:b/>
                          <w:bCs/>
                          <w:color w:val="C00000"/>
                          <w:sz w:val="24"/>
                          <w:szCs w:val="24"/>
                          <w:highlight w:val="green"/>
                          <w:lang w:val="en-US" w:eastAsia="zh-CN"/>
                        </w:rPr>
                      </w:pPr>
                      <w:r>
                        <w:rPr>
                          <w:rFonts w:hint="eastAsia" w:ascii="微软雅黑" w:hAnsi="微软雅黑" w:eastAsia="微软雅黑" w:cs="微软雅黑"/>
                          <w:b/>
                          <w:bCs/>
                          <w:color w:val="C00000"/>
                          <w:sz w:val="24"/>
                          <w:szCs w:val="24"/>
                          <w:lang w:val="en-US" w:eastAsia="zh-CN"/>
                        </w:rPr>
                        <w:t xml:space="preserve">第二部分 </w:t>
                      </w:r>
                      <w:r>
                        <w:rPr>
                          <w:rFonts w:hint="eastAsia" w:ascii="微软雅黑" w:hAnsi="微软雅黑" w:eastAsia="微软雅黑" w:cs="微软雅黑"/>
                          <w:b/>
                          <w:bCs/>
                          <w:color w:val="C00000"/>
                          <w:sz w:val="24"/>
                          <w:szCs w:val="24"/>
                          <w:highlight w:val="none"/>
                          <w:lang w:val="en-US" w:eastAsia="zh-CN"/>
                        </w:rPr>
                        <w:t xml:space="preserve">要点清单 </w:t>
                      </w:r>
                      <w:r>
                        <w:rPr>
                          <w:rFonts w:hint="eastAsia" w:ascii="仿宋" w:hAnsi="仿宋" w:eastAsia="仿宋" w:cs="仿宋"/>
                          <w:b/>
                          <w:bCs/>
                          <w:color w:val="F4B50A"/>
                          <w:sz w:val="22"/>
                          <w:szCs w:val="22"/>
                          <w:lang w:val="en-US" w:eastAsia="zh-CN"/>
                        </w:rPr>
                        <w:t>整合知识要点，构建基础框架</w:t>
                      </w:r>
                    </w:p>
                    <w:p w14:paraId="45099678">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第三部分 大招清单</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搭建思维体系，提炼通用大招</w:t>
                      </w:r>
                    </w:p>
                    <w:p w14:paraId="4ADED814">
                      <w:pPr>
                        <w:keepNext w:val="0"/>
                        <w:keepLines w:val="0"/>
                        <w:pageBreakBefore w:val="0"/>
                        <w:widowControl/>
                        <w:suppressLineNumbers w:val="0"/>
                        <w:kinsoku/>
                        <w:wordWrap/>
                        <w:overflowPunct/>
                        <w:topLinePunct w:val="0"/>
                        <w:bidi w:val="0"/>
                        <w:adjustRightInd w:val="0"/>
                        <w:snapToGrid w:val="0"/>
                        <w:spacing w:line="360" w:lineRule="auto"/>
                        <w:ind w:firstLine="422"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79407152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71525"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大招清单</w:t>
                      </w:r>
                      <w:r>
                        <w:rPr>
                          <w:rFonts w:hint="eastAsia" w:ascii="黑体" w:hAnsi="黑体" w:eastAsia="黑体" w:cs="黑体"/>
                          <w:b/>
                          <w:bCs/>
                          <w:color w:val="E46C0A" w:themeColor="accent6" w:themeShade="BF"/>
                          <w:kern w:val="0"/>
                          <w:sz w:val="21"/>
                          <w:szCs w:val="21"/>
                          <w:lang w:val="en-US" w:eastAsia="zh-CN" w:bidi="ar"/>
                        </w:rPr>
                        <w:t xml:space="preserve">  </w:t>
                      </w:r>
                      <w:r>
                        <w:drawing>
                          <wp:inline distT="0" distB="0" distL="114300" distR="114300">
                            <wp:extent cx="182245" cy="182245"/>
                            <wp:effectExtent l="0" t="0" r="20955" b="21590"/>
                            <wp:docPr id="195282427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2427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母题精讲</w:t>
                      </w:r>
                      <w:r>
                        <w:rPr>
                          <w:rFonts w:hint="eastAsia" w:ascii="黑体" w:hAnsi="黑体" w:eastAsia="黑体" w:cs="黑体"/>
                          <w:b/>
                          <w:bCs/>
                          <w:color w:val="31859C" w:themeColor="accent5" w:themeShade="BF"/>
                          <w:kern w:val="0"/>
                          <w:sz w:val="18"/>
                          <w:szCs w:val="18"/>
                          <w:lang w:val="en-US" w:eastAsia="zh-CN" w:bidi="ar"/>
                        </w:rPr>
                        <w:t>（思路导航）</w:t>
                      </w: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20955" b="21590"/>
                            <wp:docPr id="36725021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5021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变式应用</w:t>
                      </w:r>
                    </w:p>
                    <w:p w14:paraId="337744F3">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01 </w:t>
                      </w:r>
                      <w:r>
                        <w:rPr>
                          <w:rFonts w:hint="eastAsia" w:ascii="微软雅黑" w:hAnsi="微软雅黑" w:eastAsia="微软雅黑" w:cs="微软雅黑"/>
                          <w:lang w:val="en-US" w:eastAsia="zh-CN"/>
                        </w:rPr>
                        <w:t>四类生物学物质辨析</w:t>
                      </w:r>
                    </w:p>
                    <w:p w14:paraId="3EC8B060">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02 </w:t>
                      </w:r>
                      <w:r>
                        <w:rPr>
                          <w:rFonts w:hint="eastAsia" w:ascii="微软雅黑" w:hAnsi="微软雅黑" w:eastAsia="微软雅黑" w:cs="微软雅黑"/>
                          <w:lang w:val="en-US" w:eastAsia="zh-CN"/>
                        </w:rPr>
                        <w:t>通过蛋白质合成过程，理解细胞结构的分工协作</w:t>
                      </w:r>
                    </w:p>
                    <w:p w14:paraId="6870B103">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仿宋" w:hAnsi="仿宋" w:eastAsia="仿宋" w:cs="仿宋"/>
                          <w:b/>
                          <w:bCs/>
                          <w:color w:val="4F6228" w:themeColor="accent3" w:themeShade="80"/>
                          <w:kern w:val="2"/>
                          <w:sz w:val="22"/>
                          <w:szCs w:val="22"/>
                          <w:highlight w:val="green"/>
                          <w:lang w:val="en-US" w:eastAsia="zh-CN" w:bidi="ar-SA"/>
                        </w:rPr>
                      </w:pPr>
                      <w:r>
                        <w:rPr>
                          <w:rFonts w:hint="eastAsia" w:ascii="微软雅黑" w:hAnsi="微软雅黑" w:eastAsia="微软雅黑" w:cs="微软雅黑"/>
                          <w:lang w:val="en-US" w:eastAsia="zh-CN"/>
                        </w:rPr>
                        <w:t>大招</w:t>
                      </w:r>
                      <w:r>
                        <w:rPr>
                          <w:rFonts w:hint="eastAsia" w:ascii="微软雅黑" w:hAnsi="微软雅黑" w:eastAsia="微软雅黑" w:cs="微软雅黑"/>
                        </w:rPr>
                        <w:t xml:space="preserve">03 </w:t>
                      </w:r>
                      <w:r>
                        <w:rPr>
                          <w:rFonts w:hint="eastAsia" w:ascii="微软雅黑" w:hAnsi="微软雅黑" w:eastAsia="微软雅黑" w:cs="微软雅黑"/>
                          <w:lang w:val="en-US" w:eastAsia="zh-CN"/>
                        </w:rPr>
                        <w:t>提取信息巧判跨膜运输方式</w:t>
                      </w:r>
                    </w:p>
                  </w:txbxContent>
                </v:textbox>
                <w10:wrap type="none"/>
                <w10:anchorlock/>
              </v:shape>
            </w:pict>
          </mc:Fallback>
        </mc:AlternateContent>
      </w:r>
    </w:p>
    <w:p w14:paraId="55D8059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558925" cy="424180"/>
            <wp:effectExtent l="0" t="0" r="3175" b="1397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rcRect l="37506" t="31810" r="37630" b="62354"/>
                    <a:stretch>
                      <a:fillRect/>
                    </a:stretch>
                  </pic:blipFill>
                  <pic:spPr>
                    <a:xfrm>
                      <a:off x="0" y="0"/>
                      <a:ext cx="1558925" cy="424180"/>
                    </a:xfrm>
                    <a:prstGeom prst="rect">
                      <a:avLst/>
                    </a:prstGeom>
                    <a:noFill/>
                    <a:ln w="9525">
                      <a:noFill/>
                    </a:ln>
                  </pic:spPr>
                </pic:pic>
              </a:graphicData>
            </a:graphic>
          </wp:inline>
        </w:drawing>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8561"/>
      </w:tblGrid>
      <w:tr w14:paraId="674A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shd w:val="clear" w:color="auto" w:fill="F2DCDC" w:themeFill="accent2" w:themeFillTint="32"/>
            <w:vAlign w:val="center"/>
          </w:tcPr>
          <w:p w14:paraId="1A6360BE">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b/>
                <w:bCs/>
                <w:shd w:val="clear" w:color="auto" w:fill="auto"/>
                <w:vertAlign w:val="baseline"/>
                <w:lang w:val="en-US" w:eastAsia="zh-CN"/>
              </w:rPr>
            </w:pPr>
            <w:r>
              <w:rPr>
                <w:rFonts w:hint="default" w:ascii="Times New Roman" w:hAnsi="Times New Roman" w:cs="Times New Roman"/>
                <w:b/>
                <w:bCs/>
                <w:shd w:val="clear" w:color="auto" w:fill="auto"/>
              </w:rPr>
              <w:t>考向聚焦</w:t>
            </w:r>
          </w:p>
        </w:tc>
        <w:tc>
          <w:tcPr>
            <w:tcW w:w="8561" w:type="dxa"/>
            <w:shd w:val="clear" w:color="auto" w:fill="F2DCDC" w:themeFill="accent2" w:themeFillTint="32"/>
          </w:tcPr>
          <w:p w14:paraId="7B31C3A9">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考查形式与思维瓶颈</w:t>
            </w:r>
          </w:p>
        </w:tc>
      </w:tr>
      <w:tr w14:paraId="1C37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293EC9C8">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eastAsiaTheme="minorEastAsia"/>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细胞的分子组成</w:t>
            </w:r>
          </w:p>
        </w:tc>
        <w:tc>
          <w:tcPr>
            <w:tcW w:w="8561" w:type="dxa"/>
          </w:tcPr>
          <w:p w14:paraId="779BF340">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高考中多以选择题形式考查，偶尔结合非选择题（如结合蛋白质合成、代谢调节等考查元素的组成与功能等）。</w:t>
            </w:r>
          </w:p>
          <w:p w14:paraId="12D1A383">
            <w:pPr>
              <w:keepNext w:val="0"/>
              <w:keepLines w:val="0"/>
              <w:pageBreakBefore w:val="0"/>
              <w:kinsoku/>
              <w:wordWrap/>
              <w:overflowPunct/>
              <w:topLinePunct w:val="0"/>
              <w:autoSpaceDE/>
              <w:autoSpaceDN/>
              <w:bidi w:val="0"/>
              <w:spacing w:line="360" w:lineRule="auto"/>
              <w:textAlignment w:val="center"/>
              <w:rPr>
                <w:rFonts w:hint="default" w:ascii="Times New Roman" w:hAnsi="Times New Roman" w:eastAsia="宋体" w:cs="Times New Roman"/>
                <w:lang w:val="en-US" w:eastAsia="zh-CN"/>
              </w:rPr>
            </w:pPr>
            <w:r>
              <w:rPr>
                <w:rFonts w:hint="eastAsia" w:ascii="Times New Roman" w:hAnsi="Times New Roman" w:cs="Times New Roman"/>
                <w:b/>
                <w:bCs/>
                <w:lang w:val="en-US" w:eastAsia="zh-CN"/>
              </w:rPr>
              <w:t>思维瓶颈：</w:t>
            </w:r>
            <w:r>
              <w:rPr>
                <w:rFonts w:hint="eastAsia" w:ascii="Times New Roman" w:hAnsi="Times New Roman" w:cs="Times New Roman"/>
                <w:lang w:val="en-US" w:eastAsia="zh-CN"/>
              </w:rPr>
              <w:t>易混淆生物大分子的单体、连接方式和功能（如DNA与蛋白质的合成场所与功能）；对有机物的鉴定原理和实验操作细节掌握不牢；难以从化学本质上理解其特性（如为什么DNA比RNA更适合作为遗传物质）</w:t>
            </w:r>
            <w:r>
              <w:rPr>
                <w:rFonts w:hint="eastAsia" w:ascii="Times New Roman" w:hAnsi="Times New Roman" w:eastAsia="宋体" w:cs="Times New Roman"/>
                <w:i w:val="0"/>
                <w:iCs w:val="0"/>
                <w:caps w:val="0"/>
                <w:spacing w:val="0"/>
                <w:sz w:val="21"/>
                <w:szCs w:val="21"/>
                <w:lang w:val="en-US" w:eastAsia="zh-CN"/>
              </w:rPr>
              <w:t>。</w:t>
            </w:r>
          </w:p>
        </w:tc>
      </w:tr>
      <w:tr w14:paraId="4721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2DBBC4E7">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eastAsiaTheme="minorEastAsia"/>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细胞的基本结构</w:t>
            </w:r>
          </w:p>
        </w:tc>
        <w:tc>
          <w:tcPr>
            <w:tcW w:w="8561" w:type="dxa"/>
            <w:vAlign w:val="top"/>
          </w:tcPr>
          <w:p w14:paraId="783F30F4">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高考中多以选择题形式考查，偶尔结合非选择题（如结合实验设计等）。</w:t>
            </w:r>
          </w:p>
          <w:p w14:paraId="3A55F23E">
            <w:pPr>
              <w:keepNext w:val="0"/>
              <w:keepLines w:val="0"/>
              <w:pageBreakBefore w:val="0"/>
              <w:kinsoku/>
              <w:wordWrap/>
              <w:overflowPunct/>
              <w:topLinePunct w:val="0"/>
              <w:autoSpaceDE/>
              <w:autoSpaceDN/>
              <w:bidi w:val="0"/>
              <w:spacing w:line="360" w:lineRule="auto"/>
              <w:textAlignment w:val="center"/>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思维瓶颈：</w:t>
            </w:r>
            <w:r>
              <w:rPr>
                <w:rFonts w:hint="eastAsia" w:ascii="Times New Roman" w:hAnsi="Times New Roman" w:cs="Times New Roman"/>
                <w:lang w:val="en-US" w:eastAsia="zh-CN"/>
              </w:rPr>
              <w:t>结构功能联系割裂，未能建立“动态”整体观，无法在具体情境中将其串联成一个协同工作的生命系统，图像信息转化能力弱，从“图”到“理”的路径不通，因读图能力不足而无法提取有效信息</w:t>
            </w:r>
            <w:r>
              <w:rPr>
                <w:rFonts w:hint="eastAsia" w:ascii="Times New Roman" w:hAnsi="Times New Roman" w:eastAsia="宋体" w:cs="Times New Roman"/>
                <w:i w:val="0"/>
                <w:iCs w:val="0"/>
                <w:caps w:val="0"/>
                <w:spacing w:val="0"/>
                <w:sz w:val="21"/>
                <w:szCs w:val="21"/>
                <w:lang w:val="en-US" w:eastAsia="zh-CN"/>
              </w:rPr>
              <w:t>。</w:t>
            </w:r>
          </w:p>
        </w:tc>
      </w:tr>
      <w:tr w14:paraId="5AA1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0E79798F">
            <w:pPr>
              <w:keepNext w:val="0"/>
              <w:keepLines w:val="0"/>
              <w:pageBreakBefore w:val="0"/>
              <w:kinsoku/>
              <w:wordWrap/>
              <w:overflowPunct/>
              <w:topLinePunct w:val="0"/>
              <w:autoSpaceDE/>
              <w:autoSpaceDN/>
              <w:bidi w:val="0"/>
              <w:spacing w:line="360" w:lineRule="auto"/>
              <w:jc w:val="center"/>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细胞的物质运输</w:t>
            </w:r>
          </w:p>
        </w:tc>
        <w:tc>
          <w:tcPr>
            <w:tcW w:w="8561" w:type="dxa"/>
            <w:vAlign w:val="top"/>
          </w:tcPr>
          <w:p w14:paraId="006C4B69">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高考中多以选择题形式考查，偶尔结合非选择题（常结合图像曲线、实验探究等）。</w:t>
            </w:r>
          </w:p>
          <w:p w14:paraId="458F0176">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思维瓶颈：</w:t>
            </w:r>
            <w:r>
              <w:rPr>
                <w:rFonts w:hint="eastAsia" w:ascii="Times New Roman" w:hAnsi="Times New Roman" w:cs="Times New Roman"/>
                <w:lang w:val="en-US" w:eastAsia="zh-CN"/>
              </w:rPr>
              <w:t>物质跨膜运输方式特点辨析不清，曲线分析能力不足，实验探究中变量设置与结果推理能力欠缺，需要将结构功能观渗透到读图析图中，从而准确得出结论。</w:t>
            </w:r>
          </w:p>
        </w:tc>
      </w:tr>
    </w:tbl>
    <w:p w14:paraId="5C7F044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460500" cy="398780"/>
            <wp:effectExtent l="0" t="0" r="6350" b="12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2"/>
                    <a:srcRect l="37506" t="44004" r="37444" b="50096"/>
                    <a:stretch>
                      <a:fillRect/>
                    </a:stretch>
                  </pic:blipFill>
                  <pic:spPr>
                    <a:xfrm>
                      <a:off x="0" y="0"/>
                      <a:ext cx="1460500" cy="398780"/>
                    </a:xfrm>
                    <a:prstGeom prst="rect">
                      <a:avLst/>
                    </a:prstGeom>
                    <a:noFill/>
                    <a:ln w="9525">
                      <a:noFill/>
                    </a:ln>
                  </pic:spPr>
                </pic:pic>
              </a:graphicData>
            </a:graphic>
          </wp:inline>
        </w:drawing>
      </w:r>
    </w:p>
    <w:p w14:paraId="53517B6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p>
    <w:p w14:paraId="28114793">
      <w:pPr>
        <w:keepNext w:val="0"/>
        <w:keepLines w:val="0"/>
        <w:pageBreakBefore w:val="0"/>
        <w:numPr>
          <w:ilvl w:val="0"/>
          <w:numId w:val="1"/>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细胞的分子组成</w:t>
      </w:r>
    </w:p>
    <w:p w14:paraId="62C711A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（1）</w:t>
      </w:r>
      <w:r>
        <w:rPr>
          <w:rFonts w:hint="default" w:ascii="Times New Roman" w:hAnsi="Times New Roman" w:cs="Times New Roman"/>
          <w:b w:val="0"/>
          <w:bCs w:val="0"/>
          <w:shd w:val="clear" w:color="auto" w:fill="auto"/>
          <w:lang w:val="en-US" w:eastAsia="zh-CN"/>
        </w:rPr>
        <w:t>从元素到化合物：</w:t>
      </w:r>
    </w:p>
    <w:p w14:paraId="4DEC2C28">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C、H、O → 糖类、脂质、蛋白质、核酸的共同骨架。</w:t>
      </w:r>
    </w:p>
    <w:p w14:paraId="0B8A7F19">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N → 蛋白质（肽键、R基）、核酸（含氮碱基）、ATP、NADPH的特征元素。</w:t>
      </w:r>
    </w:p>
    <w:p w14:paraId="7B1D1BDD">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P → 核酸、ATP、NADPH、磷脂的标志元素（形成磷酸基团，与能量、遗传信息、膜结构相关）。</w:t>
      </w:r>
    </w:p>
    <w:p w14:paraId="20E00A2C">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S → 某些蛋白质（如胰岛素）的特征元素（形成二硫键）。</w:t>
      </w:r>
    </w:p>
    <w:p w14:paraId="7B708FF0">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Mg、Fe等 → 构成叶绿素、血红蛋白等化合物的核心，功能与结构直接相关。</w:t>
      </w:r>
    </w:p>
    <w:p w14:paraId="18E8DCD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（2）</w:t>
      </w:r>
      <w:r>
        <w:rPr>
          <w:rFonts w:hint="default" w:ascii="Times New Roman" w:hAnsi="Times New Roman" w:cs="Times New Roman"/>
          <w:b w:val="0"/>
          <w:bCs w:val="0"/>
          <w:shd w:val="clear" w:color="auto" w:fill="auto"/>
          <w:lang w:val="en-US" w:eastAsia="zh-CN"/>
        </w:rPr>
        <w:t>从单体到多聚体：</w:t>
      </w:r>
    </w:p>
    <w:p w14:paraId="1ABC1FD0">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单糖 (葡萄糖) → 多糖 (淀粉、糖原、纤维素)</w:t>
      </w:r>
    </w:p>
    <w:p w14:paraId="3B2EAAF5">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氨基酸 (约2</w:t>
      </w:r>
      <w:r>
        <w:rPr>
          <w:rFonts w:hint="eastAsia" w:ascii="Times New Roman" w:hAnsi="Times New Roman" w:cs="Times New Roman"/>
          <w:b w:val="0"/>
          <w:bCs w:val="0"/>
          <w:shd w:val="clear" w:color="auto" w:fill="auto"/>
          <w:lang w:val="en-US" w:eastAsia="zh-CN"/>
        </w:rPr>
        <w:t>1</w:t>
      </w:r>
      <w:r>
        <w:rPr>
          <w:rFonts w:hint="default" w:ascii="Times New Roman" w:hAnsi="Times New Roman" w:cs="Times New Roman"/>
          <w:b w:val="0"/>
          <w:bCs w:val="0"/>
          <w:shd w:val="clear" w:color="auto" w:fill="auto"/>
          <w:lang w:val="en-US" w:eastAsia="zh-CN"/>
        </w:rPr>
        <w:t>种) → 蛋白质 (多肽链)</w:t>
      </w:r>
    </w:p>
    <w:p w14:paraId="3530B1FF">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核苷酸 (8种) → 核酸 (DNA, RNA)</w:t>
      </w:r>
    </w:p>
    <w:p w14:paraId="5A73CAA7">
      <w:pPr>
        <w:keepNext w:val="0"/>
        <w:keepLines w:val="0"/>
        <w:pageBreakBefore w:val="0"/>
        <w:numPr>
          <w:ilvl w:val="0"/>
          <w:numId w:val="2"/>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有机物的分类、联系与功能整合</w:t>
      </w:r>
    </w:p>
    <w:tbl>
      <w:tblPr>
        <w:tblStyle w:val="10"/>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3950"/>
        <w:gridCol w:w="4410"/>
      </w:tblGrid>
      <w:tr w14:paraId="213D9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125C3E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bCs w:val="0"/>
                <w:color w:val="000000"/>
                <w:shd w:val="clear" w:color="auto" w:fill="auto"/>
                <w:lang w:val="en-US" w:eastAsia="zh-CN"/>
              </w:rPr>
            </w:pPr>
            <w:r>
              <w:rPr>
                <w:rFonts w:hint="default" w:ascii="Times New Roman" w:hAnsi="Times New Roman" w:cs="Times New Roman"/>
                <w:b/>
                <w:bCs w:val="0"/>
                <w:color w:val="000000"/>
                <w:shd w:val="clear" w:color="auto" w:fill="auto"/>
                <w:lang w:val="en-US" w:eastAsia="zh-CN"/>
              </w:rPr>
              <w:t>分子类别</w:t>
            </w:r>
          </w:p>
        </w:tc>
        <w:tc>
          <w:tcPr>
            <w:tcW w:w="395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A2155EF">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843" w:firstLineChars="400"/>
              <w:contextualSpacing/>
              <w:jc w:val="both"/>
              <w:textAlignment w:val="center"/>
              <w:rPr>
                <w:rFonts w:hint="default" w:ascii="Times New Roman" w:hAnsi="Times New Roman" w:cs="Times New Roman"/>
                <w:b/>
                <w:bCs w:val="0"/>
                <w:color w:val="000000"/>
                <w:shd w:val="clear" w:color="auto" w:fill="auto"/>
                <w:lang w:val="en-US" w:eastAsia="zh-CN"/>
              </w:rPr>
            </w:pPr>
            <w:r>
              <w:rPr>
                <w:rFonts w:hint="default" w:ascii="Times New Roman" w:hAnsi="Times New Roman" w:cs="Times New Roman"/>
                <w:b/>
                <w:bCs w:val="0"/>
                <w:color w:val="000000"/>
                <w:shd w:val="clear" w:color="auto" w:fill="auto"/>
                <w:lang w:val="en-US" w:eastAsia="zh-CN"/>
              </w:rPr>
              <w:t>核心功能</w:t>
            </w:r>
          </w:p>
        </w:tc>
        <w:tc>
          <w:tcPr>
            <w:tcW w:w="441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DA957F2">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1265" w:firstLineChars="600"/>
              <w:contextualSpacing/>
              <w:jc w:val="both"/>
              <w:textAlignment w:val="center"/>
              <w:rPr>
                <w:rFonts w:hint="default" w:ascii="Times New Roman" w:hAnsi="Times New Roman" w:cs="Times New Roman"/>
                <w:b/>
                <w:bCs w:val="0"/>
                <w:color w:val="000000"/>
                <w:shd w:val="clear" w:color="auto" w:fill="auto"/>
                <w:lang w:val="en-US" w:eastAsia="zh-CN"/>
              </w:rPr>
            </w:pPr>
            <w:r>
              <w:rPr>
                <w:rFonts w:hint="default" w:ascii="Times New Roman" w:hAnsi="Times New Roman" w:cs="Times New Roman"/>
                <w:b/>
                <w:bCs w:val="0"/>
                <w:color w:val="000000"/>
                <w:shd w:val="clear" w:color="auto" w:fill="auto"/>
                <w:lang w:val="en-US" w:eastAsia="zh-CN"/>
              </w:rPr>
              <w:t>关键联系与辨析</w:t>
            </w:r>
          </w:p>
        </w:tc>
      </w:tr>
      <w:tr w14:paraId="7984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5AEDD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bCs/>
                <w:color w:val="000000"/>
                <w:shd w:val="clear" w:color="auto" w:fill="auto"/>
                <w:lang w:val="en-US" w:eastAsia="zh-CN"/>
              </w:rPr>
            </w:pPr>
            <w:r>
              <w:rPr>
                <w:rFonts w:hint="eastAsia" w:ascii="Times New Roman" w:hAnsi="Times New Roman" w:cs="Times New Roman"/>
                <w:b w:val="0"/>
                <w:bCs/>
                <w:color w:val="000000"/>
                <w:shd w:val="clear" w:color="auto" w:fill="auto"/>
                <w:lang w:val="en-US" w:eastAsia="zh-CN"/>
              </w:rPr>
              <w:t>糖类</w:t>
            </w:r>
          </w:p>
        </w:tc>
        <w:tc>
          <w:tcPr>
            <w:tcW w:w="395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2555F6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1. 能源物质 (葡萄糖是主要能源)</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2. 结构物质 (纤维素、几丁质)</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3. 储能物质 (糖原、淀粉)</w:t>
            </w:r>
          </w:p>
        </w:tc>
        <w:tc>
          <w:tcPr>
            <w:tcW w:w="4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2DAC2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关系：单糖 → 二糖 → 多糖（合成伴随脱水）</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辨析：植物细胞特有淀粉、纤维素；动物细胞特有糖原。</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联系：糖蛋白（识别、免疫）是糖类与蛋白质的结合。</w:t>
            </w:r>
          </w:p>
        </w:tc>
      </w:tr>
      <w:tr w14:paraId="14AD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F0F82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bCs/>
                <w:color w:val="000000"/>
                <w:shd w:val="clear" w:color="auto" w:fill="auto"/>
                <w:lang w:val="en-US" w:eastAsia="zh-CN"/>
              </w:rPr>
            </w:pPr>
            <w:r>
              <w:rPr>
                <w:rFonts w:hint="eastAsia" w:ascii="Times New Roman" w:hAnsi="Times New Roman" w:cs="Times New Roman"/>
                <w:b w:val="0"/>
                <w:bCs/>
                <w:color w:val="000000"/>
                <w:shd w:val="clear" w:color="auto" w:fill="auto"/>
                <w:lang w:val="en-US" w:eastAsia="zh-CN"/>
              </w:rPr>
              <w:t>脂质</w:t>
            </w:r>
          </w:p>
        </w:tc>
        <w:tc>
          <w:tcPr>
            <w:tcW w:w="395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BD41C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1. 储能 (脂肪：主要储能物质)</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2. 构成膜 (磷脂：生物膜基本骨架)</w:t>
            </w:r>
            <w:r>
              <w:rPr>
                <w:rFonts w:hint="eastAsia" w:ascii="Times New Roman" w:hAnsi="Times New Roman" w:cs="Times New Roman"/>
                <w:b w:val="0"/>
                <w:bCs w:val="0"/>
                <w:color w:val="000000"/>
                <w:shd w:val="clear" w:color="auto" w:fill="auto"/>
                <w:lang w:val="en-US" w:eastAsia="zh-CN"/>
              </w:rPr>
              <w:br w:type="textWrapping"/>
            </w:r>
            <w:r>
              <w:rPr>
                <w:rFonts w:hint="eastAsia" w:ascii="Times New Roman" w:hAnsi="Times New Roman" w:cs="Times New Roman"/>
                <w:b w:val="0"/>
                <w:bCs w:val="0"/>
                <w:color w:val="000000"/>
                <w:shd w:val="clear" w:color="auto" w:fill="auto"/>
                <w:lang w:val="en-US" w:eastAsia="zh-CN"/>
              </w:rPr>
              <w:t>3. 调节代谢 (固醇：性激素、维生素D等)</w:t>
            </w:r>
          </w:p>
        </w:tc>
        <w:tc>
          <w:tcPr>
            <w:tcW w:w="4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0839E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关系：都不由单体构成，但有其基本单位（如甘油、脂肪酸）。</w:t>
            </w:r>
          </w:p>
          <w:p w14:paraId="53398C7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辨析：脂肪只含C、H、O；磷脂还含P、N。</w:t>
            </w:r>
          </w:p>
          <w:p w14:paraId="3301463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bCs w:val="0"/>
                <w:color w:val="000000"/>
                <w:shd w:val="clear" w:color="auto" w:fill="auto"/>
                <w:lang w:val="en-US" w:eastAsia="zh-CN"/>
              </w:rPr>
            </w:pPr>
            <w:r>
              <w:rPr>
                <w:rFonts w:hint="eastAsia" w:ascii="Times New Roman" w:hAnsi="Times New Roman" w:cs="Times New Roman"/>
                <w:b w:val="0"/>
                <w:bCs w:val="0"/>
                <w:color w:val="000000"/>
                <w:shd w:val="clear" w:color="auto" w:fill="auto"/>
                <w:lang w:val="en-US" w:eastAsia="zh-CN"/>
              </w:rPr>
              <w:t>联系：脂肪与糖类可相互转化，但脂肪氧含量低，耗氧多，产水多。</w:t>
            </w:r>
          </w:p>
        </w:tc>
      </w:tr>
      <w:tr w14:paraId="27EF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8DBA4C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shd w:val="clear" w:color="auto" w:fill="auto"/>
                <w:lang w:val="en-US" w:eastAsia="zh-CN"/>
              </w:rPr>
            </w:pPr>
            <w:r>
              <w:rPr>
                <w:rFonts w:hint="default" w:ascii="Times New Roman" w:hAnsi="Times New Roman" w:cs="Times New Roman"/>
                <w:b w:val="0"/>
                <w:bCs/>
                <w:color w:val="000000"/>
                <w:shd w:val="clear" w:color="auto" w:fill="auto"/>
                <w:lang w:val="en-US" w:eastAsia="zh-CN"/>
              </w:rPr>
              <w:t>蛋白质</w:t>
            </w:r>
          </w:p>
        </w:tc>
        <w:tc>
          <w:tcPr>
            <w:tcW w:w="395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45489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color w:val="000000"/>
                <w:shd w:val="clear" w:color="auto" w:fill="auto"/>
                <w:lang w:val="en-US" w:eastAsia="zh-CN"/>
              </w:rPr>
            </w:pPr>
            <w:r>
              <w:rPr>
                <w:rFonts w:hint="default" w:ascii="Times New Roman" w:hAnsi="Times New Roman" w:cs="Times New Roman"/>
                <w:b w:val="0"/>
                <w:bCs w:val="0"/>
                <w:color w:val="000000"/>
                <w:shd w:val="clear" w:color="auto" w:fill="auto"/>
                <w:lang w:val="en-US" w:eastAsia="zh-CN"/>
              </w:rPr>
              <w:t>1. 生命活动主要承担者 (结构、催化、运输、免疫、调节等)</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2. 信息传递 (受体、信号分子)</w:t>
            </w:r>
          </w:p>
        </w:tc>
        <w:tc>
          <w:tcPr>
            <w:tcW w:w="4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3579B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color w:val="000000"/>
                <w:shd w:val="clear" w:color="auto" w:fill="auto"/>
                <w:lang w:val="en-US" w:eastAsia="zh-CN"/>
              </w:rPr>
            </w:pPr>
            <w:r>
              <w:rPr>
                <w:rFonts w:hint="default" w:ascii="Times New Roman" w:hAnsi="Times New Roman" w:cs="Times New Roman"/>
                <w:b w:val="0"/>
                <w:bCs w:val="0"/>
                <w:color w:val="000000"/>
                <w:shd w:val="clear" w:color="auto" w:fill="auto"/>
                <w:lang w:val="en-US" w:eastAsia="zh-CN"/>
              </w:rPr>
              <w:t>关系：氨基酸种类、数目、序列 → 肽链盘曲折叠 → 特定空间结构 → 特定功能。</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核心联系：其合成由核酸控制，体现“中心法则”。</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动态视角：蛋白质结构可变（如变性），功能随之改变。</w:t>
            </w:r>
          </w:p>
        </w:tc>
      </w:tr>
      <w:tr w14:paraId="2811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CBB61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shd w:val="clear" w:color="auto" w:fill="auto"/>
                <w:lang w:val="en-US" w:eastAsia="zh-CN"/>
              </w:rPr>
            </w:pPr>
            <w:r>
              <w:rPr>
                <w:rFonts w:hint="default" w:ascii="Times New Roman" w:hAnsi="Times New Roman" w:cs="Times New Roman"/>
                <w:b w:val="0"/>
                <w:bCs/>
                <w:color w:val="000000"/>
                <w:shd w:val="clear" w:color="auto" w:fill="auto"/>
                <w:lang w:val="en-US" w:eastAsia="zh-CN"/>
              </w:rPr>
              <w:t>核酸</w:t>
            </w:r>
          </w:p>
        </w:tc>
        <w:tc>
          <w:tcPr>
            <w:tcW w:w="395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766A4F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color w:val="000000"/>
                <w:shd w:val="clear" w:color="auto" w:fill="auto"/>
                <w:lang w:val="en-US" w:eastAsia="zh-CN"/>
              </w:rPr>
            </w:pPr>
            <w:r>
              <w:rPr>
                <w:rFonts w:hint="default" w:ascii="Times New Roman" w:hAnsi="Times New Roman" w:cs="Times New Roman"/>
                <w:b w:val="0"/>
                <w:bCs w:val="0"/>
                <w:color w:val="000000"/>
                <w:shd w:val="clear" w:color="auto" w:fill="auto"/>
                <w:lang w:val="en-US" w:eastAsia="zh-CN"/>
              </w:rPr>
              <w:t>1. 遗传信息的携带者 (DNA)</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2. 遗传信息的传递与表达者 (RNA)</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3. 能量货币/信号分子 (ATP, cAMP)</w:t>
            </w:r>
          </w:p>
        </w:tc>
        <w:tc>
          <w:tcPr>
            <w:tcW w:w="4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677E66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bCs w:val="0"/>
                <w:color w:val="000000"/>
                <w:shd w:val="clear" w:color="auto" w:fill="auto"/>
                <w:lang w:val="en-US" w:eastAsia="zh-CN"/>
              </w:rPr>
            </w:pPr>
            <w:r>
              <w:rPr>
                <w:rFonts w:hint="default" w:ascii="Times New Roman" w:hAnsi="Times New Roman" w:cs="Times New Roman"/>
                <w:b w:val="0"/>
                <w:bCs w:val="0"/>
                <w:color w:val="000000"/>
                <w:shd w:val="clear" w:color="auto" w:fill="auto"/>
                <w:lang w:val="en-US" w:eastAsia="zh-CN"/>
              </w:rPr>
              <w:t>关系：核苷酸序列即遗传信息。</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核心网络：DNA → RNA → 蛋白质 (中心法则)，串联起整个细胞的生命活动。</w:t>
            </w:r>
            <w:r>
              <w:rPr>
                <w:rFonts w:hint="default" w:ascii="Times New Roman" w:hAnsi="Times New Roman" w:cs="Times New Roman"/>
                <w:b w:val="0"/>
                <w:bCs w:val="0"/>
                <w:color w:val="000000"/>
                <w:shd w:val="clear" w:color="auto" w:fill="auto"/>
                <w:lang w:val="en-US" w:eastAsia="zh-CN"/>
              </w:rPr>
              <w:br w:type="textWrapping"/>
            </w:r>
            <w:r>
              <w:rPr>
                <w:rFonts w:hint="default" w:ascii="Times New Roman" w:hAnsi="Times New Roman" w:cs="Times New Roman"/>
                <w:b w:val="0"/>
                <w:bCs w:val="0"/>
                <w:color w:val="000000"/>
                <w:shd w:val="clear" w:color="auto" w:fill="auto"/>
                <w:lang w:val="en-US" w:eastAsia="zh-CN"/>
              </w:rPr>
              <w:t> 辨析：DNA与RNA在五碳糖、含氮碱基、链、分布、功能上的区别是考查重点。</w:t>
            </w:r>
          </w:p>
        </w:tc>
      </w:tr>
    </w:tbl>
    <w:p w14:paraId="2CE6BFCB">
      <w:pPr>
        <w:keepNext w:val="0"/>
        <w:keepLines w:val="0"/>
        <w:pageBreakBefore w:val="0"/>
        <w:numPr>
          <w:ilvl w:val="0"/>
          <w:numId w:val="2"/>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特例、误区与实验辨析</w:t>
      </w:r>
    </w:p>
    <w:p w14:paraId="3600FF44">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 xml:space="preserve">    “主要”≠“唯一”：主要能源物质-糖类 ； 主要储能物质-脂肪；遗传物质-DNA。</w:t>
      </w:r>
    </w:p>
    <w:p w14:paraId="6F390549">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“还原糖”和“非还原糖”的范畴：还原糖包括葡萄糖、果糖、麦芽糖等；蔗糖和多糖属于非还原糖。</w:t>
      </w:r>
    </w:p>
    <w:p w14:paraId="6E4BCE7A">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脂肪的“H”含量：脂肪中H比例高于糖类，因此相同质量下氧化分解释能多，耗氧多，产水多。</w:t>
      </w:r>
    </w:p>
    <w:p w14:paraId="076F9DFB">
      <w:pPr>
        <w:keepNext w:val="0"/>
        <w:keepLines w:val="0"/>
        <w:pageBreakBefore w:val="0"/>
        <w:numPr>
          <w:ilvl w:val="0"/>
          <w:numId w:val="0"/>
        </w:numPr>
        <w:kinsoku/>
        <w:wordWrap/>
        <w:overflowPunct/>
        <w:topLinePunct w:val="0"/>
        <w:autoSpaceDE/>
        <w:autoSpaceDN/>
        <w:bidi w:val="0"/>
        <w:adjustRightInd w:val="0"/>
        <w:snapToGrid w:val="0"/>
        <w:spacing w:line="360" w:lineRule="auto"/>
        <w:ind w:left="3150" w:leftChars="200" w:hanging="2730" w:hangingChars="1300"/>
        <w:contextualSpacing/>
        <w:jc w:val="left"/>
        <w:textAlignment w:val="center"/>
        <w:rPr>
          <w:rFonts w:hint="eastAsia" w:ascii="Times New Roman" w:hAnsi="Times New Roman" w:cs="Times New Roman"/>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蛋白质的“多样性”根源：直接原因：氨基酸的种类、数目、排列顺序及肽链盘曲折叠形成的空间结构不同。根本原因：DNA（基因）的多样性。</w:t>
      </w:r>
    </w:p>
    <w:p w14:paraId="0462ED12">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20" w:firstLineChars="2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实验鉴定“原理”：</w:t>
      </w:r>
    </w:p>
    <w:p w14:paraId="72238F46">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20" w:firstLineChars="2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斐林试剂：检测还原糖，原理是Cu²⁺在碱性条件下被还原糖还原为Cu₂O（砖红色沉淀）。</w:t>
      </w:r>
    </w:p>
    <w:p w14:paraId="6685F8C3">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20" w:firstLineChars="2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双缩脲试剂：检测肽键，原理是在碱性环境中Cu²⁺与肽键生成紫色络合物。</w:t>
      </w:r>
    </w:p>
    <w:p w14:paraId="7D0FFA78">
      <w:pPr>
        <w:keepNext w:val="0"/>
        <w:keepLines w:val="0"/>
        <w:pageBreakBefore w:val="0"/>
        <w:numPr>
          <w:ilvl w:val="0"/>
          <w:numId w:val="0"/>
        </w:numPr>
        <w:kinsoku/>
        <w:wordWrap/>
        <w:overflowPunct/>
        <w:topLinePunct w:val="0"/>
        <w:autoSpaceDE/>
        <w:autoSpaceDN/>
        <w:bidi w:val="0"/>
        <w:adjustRightInd w:val="0"/>
        <w:snapToGrid w:val="0"/>
        <w:spacing w:line="360" w:lineRule="auto"/>
        <w:ind w:left="1470" w:leftChars="200" w:hanging="1050" w:hangingChars="500"/>
        <w:contextualSpacing/>
        <w:jc w:val="left"/>
        <w:textAlignment w:val="center"/>
        <w:rPr>
          <w:rFonts w:hint="default" w:ascii="Times New Roman" w:hAnsi="Times New Roman" w:cs="Times New Roman"/>
          <w:b w:val="0"/>
          <w:bCs w:val="0"/>
          <w:shd w:val="clear" w:color="auto" w:fill="auto"/>
          <w:lang w:val="en-US" w:eastAsia="zh-CN"/>
        </w:rPr>
      </w:pPr>
      <w:r>
        <w:rPr>
          <w:rFonts w:hint="default" w:ascii="Times New Roman" w:hAnsi="Times New Roman" w:cs="Times New Roman"/>
          <w:b w:val="0"/>
          <w:bCs w:val="0"/>
          <w:shd w:val="clear" w:color="auto" w:fill="auto"/>
          <w:lang w:val="en-US" w:eastAsia="zh-CN"/>
        </w:rPr>
        <w:t>二者比较：斐林试剂需现配现用、水浴加热；双缩脲试剂先加A液（NaOH）营造碱性环境，再加B液（CuSO₄）。</w:t>
      </w:r>
    </w:p>
    <w:p w14:paraId="3540CCF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.各细胞结构的功能</w:t>
      </w:r>
    </w:p>
    <w:p w14:paraId="04BDC8B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(1)细胞膜的功能：将细胞与外界环境分隔开;控制物质进出细胞;进行细胞间的信息交流。</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(2)细胞核的功能：遗传信息库;细胞代谢和遗传的控制中心。</w:t>
      </w:r>
      <w:r>
        <w:rPr>
          <w:rFonts w:hint="default" w:ascii="Times New Roman" w:hAnsi="Times New Roman" w:cs="Times New Roman"/>
          <w:lang w:val="en-US" w:eastAsia="zh-CN"/>
        </w:rPr>
        <w:br w:type="textWrapping"/>
      </w:r>
      <w:r>
        <w:rPr>
          <w:rFonts w:hint="default" w:ascii="Times New Roman" w:hAnsi="Times New Roman" w:cs="Times New Roman"/>
          <w:lang w:val="en-US" w:eastAsia="zh-CN"/>
        </w:rPr>
        <w:t>(3)细胞器的功能</w:t>
      </w:r>
    </w:p>
    <w:tbl>
      <w:tblPr>
        <w:tblStyle w:val="9"/>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074"/>
        <w:gridCol w:w="4545"/>
        <w:gridCol w:w="1095"/>
        <w:gridCol w:w="2864"/>
      </w:tblGrid>
      <w:tr w14:paraId="49F0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22" w:hRule="atLeast"/>
        </w:trPr>
        <w:tc>
          <w:tcPr>
            <w:tcW w:w="107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7E1EE0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lang w:val="en-US" w:eastAsia="zh-CN"/>
              </w:rPr>
            </w:pPr>
            <w:r>
              <w:rPr>
                <w:rFonts w:hint="default" w:ascii="Times New Roman" w:hAnsi="Times New Roman" w:cs="Times New Roman"/>
                <w:b/>
                <w:bCs w:val="0"/>
                <w:color w:val="000000"/>
                <w:lang w:val="en-US" w:eastAsia="zh-CN"/>
              </w:rPr>
              <w:t>细胞器</w:t>
            </w:r>
          </w:p>
        </w:tc>
        <w:tc>
          <w:tcPr>
            <w:tcW w:w="454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15ACA6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主要功能</w:t>
            </w:r>
          </w:p>
        </w:tc>
        <w:tc>
          <w:tcPr>
            <w:tcW w:w="109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AB5660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细胞器</w:t>
            </w:r>
          </w:p>
        </w:tc>
        <w:tc>
          <w:tcPr>
            <w:tcW w:w="286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358E35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主要功能</w:t>
            </w:r>
          </w:p>
        </w:tc>
      </w:tr>
      <w:tr w14:paraId="72CDB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33" w:hRule="atLeast"/>
        </w:trPr>
        <w:tc>
          <w:tcPr>
            <w:tcW w:w="107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02611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lang w:val="en-US" w:eastAsia="zh-CN"/>
              </w:rPr>
            </w:pPr>
            <w:r>
              <w:rPr>
                <w:rFonts w:hint="default" w:ascii="Times New Roman" w:hAnsi="Times New Roman" w:cs="Times New Roman"/>
                <w:b w:val="0"/>
                <w:bCs/>
                <w:color w:val="000000"/>
                <w:lang w:val="en-US" w:eastAsia="zh-CN"/>
              </w:rPr>
              <w:t>叶绿体</w:t>
            </w:r>
          </w:p>
        </w:tc>
        <w:tc>
          <w:tcPr>
            <w:tcW w:w="45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5067F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绿色植物光合作用的主要场所</w:t>
            </w:r>
          </w:p>
        </w:tc>
        <w:tc>
          <w:tcPr>
            <w:tcW w:w="10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C2087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溶酶体</w:t>
            </w:r>
          </w:p>
        </w:tc>
        <w:tc>
          <w:tcPr>
            <w:tcW w:w="286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C8CEA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分解衰老、损伤的细胞器,吞噬并杀死侵入细胞的病毒、病菌</w:t>
            </w:r>
          </w:p>
        </w:tc>
      </w:tr>
      <w:tr w14:paraId="0EE1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33" w:hRule="atLeast"/>
        </w:trPr>
        <w:tc>
          <w:tcPr>
            <w:tcW w:w="107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76559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lang w:val="en-US" w:eastAsia="zh-CN"/>
              </w:rPr>
            </w:pPr>
            <w:r>
              <w:rPr>
                <w:rFonts w:hint="default" w:ascii="Times New Roman" w:hAnsi="Times New Roman" w:cs="Times New Roman"/>
                <w:b w:val="0"/>
                <w:bCs/>
                <w:color w:val="000000"/>
                <w:lang w:val="en-US" w:eastAsia="zh-CN"/>
              </w:rPr>
              <w:t>线粒体</w:t>
            </w:r>
          </w:p>
        </w:tc>
        <w:tc>
          <w:tcPr>
            <w:tcW w:w="45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9F3DD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细胞有氧呼吸的主要场所</w:t>
            </w:r>
          </w:p>
        </w:tc>
        <w:tc>
          <w:tcPr>
            <w:tcW w:w="10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0F108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液泡</w:t>
            </w:r>
          </w:p>
        </w:tc>
        <w:tc>
          <w:tcPr>
            <w:tcW w:w="286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6391A5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调节植物细胞内的环境,使植物细胞保持坚挺</w:t>
            </w:r>
          </w:p>
        </w:tc>
      </w:tr>
      <w:tr w14:paraId="4E617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33" w:hRule="atLeast"/>
        </w:trPr>
        <w:tc>
          <w:tcPr>
            <w:tcW w:w="107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B0368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lang w:val="en-US" w:eastAsia="zh-CN"/>
              </w:rPr>
            </w:pPr>
            <w:r>
              <w:rPr>
                <w:rFonts w:hint="default" w:ascii="Times New Roman" w:hAnsi="Times New Roman" w:cs="Times New Roman"/>
                <w:b w:val="0"/>
                <w:bCs/>
                <w:color w:val="000000"/>
                <w:lang w:val="en-US" w:eastAsia="zh-CN"/>
              </w:rPr>
              <w:t>内质网</w:t>
            </w:r>
          </w:p>
        </w:tc>
        <w:tc>
          <w:tcPr>
            <w:tcW w:w="45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5F504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蛋白质等大分子物质合成、加工的场所和运输通道</w:t>
            </w:r>
          </w:p>
        </w:tc>
        <w:tc>
          <w:tcPr>
            <w:tcW w:w="10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091B3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核糖体</w:t>
            </w:r>
          </w:p>
        </w:tc>
        <w:tc>
          <w:tcPr>
            <w:tcW w:w="286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B3156B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合成蛋白质的场所</w:t>
            </w:r>
          </w:p>
        </w:tc>
      </w:tr>
      <w:tr w14:paraId="08F42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848" w:hRule="atLeast"/>
        </w:trPr>
        <w:tc>
          <w:tcPr>
            <w:tcW w:w="107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011A1E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bCs/>
                <w:color w:val="000000"/>
                <w:lang w:val="en-US" w:eastAsia="zh-CN"/>
              </w:rPr>
            </w:pPr>
            <w:r>
              <w:rPr>
                <w:rFonts w:hint="default" w:ascii="Times New Roman" w:hAnsi="Times New Roman" w:cs="Times New Roman"/>
                <w:b w:val="0"/>
                <w:bCs/>
                <w:color w:val="000000"/>
                <w:lang w:val="en-US" w:eastAsia="zh-CN"/>
              </w:rPr>
              <w:t>高尔基体</w:t>
            </w:r>
          </w:p>
        </w:tc>
        <w:tc>
          <w:tcPr>
            <w:tcW w:w="45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DC9B3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加工、分类、包装蛋白质并发送；与植物细胞壁形成有关</w:t>
            </w:r>
          </w:p>
        </w:tc>
        <w:tc>
          <w:tcPr>
            <w:tcW w:w="10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8848EF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中心体</w:t>
            </w:r>
          </w:p>
        </w:tc>
        <w:tc>
          <w:tcPr>
            <w:tcW w:w="286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9EDB6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与细胞有丝分裂有关</w:t>
            </w:r>
          </w:p>
        </w:tc>
      </w:tr>
    </w:tbl>
    <w:p w14:paraId="5F59CB5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.物质进出细胞方式的判断</w:t>
      </w:r>
    </w:p>
    <w:p w14:paraId="62F5C1A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(1)2个“耗能”过程</w:t>
      </w:r>
    </w:p>
    <w:p w14:paraId="2ECB384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主动运输</w:t>
      </w:r>
    </w:p>
    <w:p w14:paraId="29662B0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胞吞、胞吐：胞吞、胞吐借助膜的融合完成；胞吐的物质未必是大分子物质，如部分神经递质</w:t>
      </w:r>
    </w:p>
    <w:p w14:paraId="607FFD0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(2)2类蛋白质</w:t>
      </w:r>
    </w:p>
    <w:p w14:paraId="4258139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载体蛋白：协助扩散、主动运输</w:t>
      </w:r>
    </w:p>
    <w:p w14:paraId="7694C03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通道蛋白：协助扩散，如维持静息电位时K⁺外流和产生动作电位时Na⁺内流均为协助扩散</w:t>
      </w:r>
    </w:p>
    <w:p w14:paraId="237475B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(3)3种“判断标准”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3075"/>
        <w:gridCol w:w="5726"/>
      </w:tblGrid>
      <w:tr w14:paraId="1EA7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Merge w:val="restart"/>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BD44C0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r>
              <w:rPr>
                <w:rFonts w:hint="default" w:ascii="Times New Roman" w:hAnsi="Times New Roman" w:cs="Times New Roman"/>
                <w:b/>
                <w:bCs w:val="0"/>
                <w:color w:val="000000"/>
                <w:vertAlign w:val="baseline"/>
                <w:lang w:val="en-US" w:eastAsia="zh-CN"/>
              </w:rPr>
              <w:t>方向</w:t>
            </w: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17871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顺浓度梯度</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0010BE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一般为被动运输</w:t>
            </w:r>
          </w:p>
        </w:tc>
      </w:tr>
      <w:tr w14:paraId="7504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44826E3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F3432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逆浓度梯度</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52738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主动运输（与主动运输有关的细胞器除供能的线粒体外，还有参与合成载体蛋白的核糖体等）</w:t>
            </w:r>
          </w:p>
        </w:tc>
      </w:tr>
      <w:tr w14:paraId="173E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167" w:type="dxa"/>
            <w:vMerge w:val="restart"/>
            <w:tcBorders>
              <w:top w:val="single" w:color="F79646" w:sz="4" w:space="0"/>
              <w:left w:val="single" w:color="F79646" w:sz="4" w:space="0"/>
              <w:bottom w:val="single" w:color="F79646" w:sz="4" w:space="0"/>
              <w:right w:val="single" w:color="F79646" w:sz="4" w:space="0"/>
            </w:tcBorders>
            <w:shd w:val="clear" w:color="auto" w:fill="FBC090"/>
            <w:vAlign w:val="center"/>
          </w:tcPr>
          <w:p w14:paraId="0C14698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r>
              <w:rPr>
                <w:rFonts w:hint="default" w:ascii="Times New Roman" w:hAnsi="Times New Roman" w:cs="Times New Roman"/>
                <w:b/>
                <w:bCs w:val="0"/>
                <w:color w:val="000000"/>
                <w:vertAlign w:val="baseline"/>
                <w:lang w:val="en-US" w:eastAsia="zh-CN"/>
              </w:rPr>
              <w:t>动力</w:t>
            </w: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FA6C00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浓度差</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B8FF0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被动运输</w:t>
            </w:r>
          </w:p>
        </w:tc>
      </w:tr>
      <w:tr w14:paraId="488C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622046E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F2DFD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耗能</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38332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主动运输、胞吞、胞吐（能量不一定来自ATP，也可能来自离子的电化学势能或光能）</w:t>
            </w:r>
          </w:p>
        </w:tc>
      </w:tr>
      <w:tr w14:paraId="7CF73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67" w:type="dxa"/>
            <w:vMerge w:val="restart"/>
            <w:tcBorders>
              <w:top w:val="single" w:color="F79646" w:sz="4" w:space="0"/>
              <w:left w:val="single" w:color="F79646" w:sz="4" w:space="0"/>
              <w:bottom w:val="single" w:color="F79646" w:sz="4" w:space="0"/>
              <w:right w:val="single" w:color="F79646" w:sz="4" w:space="0"/>
            </w:tcBorders>
            <w:shd w:val="clear" w:color="auto" w:fill="FBC090"/>
            <w:vAlign w:val="center"/>
          </w:tcPr>
          <w:p w14:paraId="02FC9C3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al="0"/>
                <w:color w:val="000000"/>
                <w:vertAlign w:val="baseline"/>
                <w:lang w:val="en-US" w:eastAsia="zh-CN"/>
              </w:rPr>
            </w:pPr>
            <w:r>
              <w:rPr>
                <w:rFonts w:hint="default" w:ascii="Times New Roman" w:hAnsi="Times New Roman" w:cs="Times New Roman"/>
                <w:b/>
                <w:bCs w:val="0"/>
                <w:color w:val="000000"/>
                <w:vertAlign w:val="baseline"/>
                <w:lang w:val="en-US" w:eastAsia="zh-CN"/>
              </w:rPr>
              <w:t>种类</w:t>
            </w: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027DF3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水</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C1B76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协助扩散(借助水通道蛋白)、自由扩散</w:t>
            </w:r>
          </w:p>
        </w:tc>
      </w:tr>
      <w:tr w14:paraId="5F24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0722D5A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1ADF4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脂溶性物质、气体</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00307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lang w:val="en-US" w:eastAsia="zh-CN"/>
              </w:rPr>
              <w:t>一般为自由扩散</w:t>
            </w:r>
          </w:p>
        </w:tc>
      </w:tr>
      <w:tr w14:paraId="5660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264179D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ECC410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葡萄糖、氨基酸、无机盐离子</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597DC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一般为主动运输</w:t>
            </w:r>
          </w:p>
        </w:tc>
      </w:tr>
      <w:tr w14:paraId="633C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167"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53A1EBF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p>
        </w:tc>
        <w:tc>
          <w:tcPr>
            <w:tcW w:w="307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4F888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大分子、颗粒物质</w:t>
            </w:r>
          </w:p>
        </w:tc>
        <w:tc>
          <w:tcPr>
            <w:tcW w:w="57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57BA6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一般为胞吞、胞吐</w:t>
            </w:r>
          </w:p>
        </w:tc>
      </w:tr>
    </w:tbl>
    <w:p w14:paraId="64D0A42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p>
    <w:p w14:paraId="5BCBB7A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501140" cy="447040"/>
            <wp:effectExtent l="0" t="0" r="10160" b="1016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2"/>
                    <a:srcRect l="36815" t="55847" r="37679" b="37604"/>
                    <a:stretch>
                      <a:fillRect/>
                    </a:stretch>
                  </pic:blipFill>
                  <pic:spPr>
                    <a:xfrm>
                      <a:off x="0" y="0"/>
                      <a:ext cx="1501140" cy="447040"/>
                    </a:xfrm>
                    <a:prstGeom prst="rect">
                      <a:avLst/>
                    </a:prstGeom>
                    <a:noFill/>
                    <a:ln w="9525">
                      <a:noFill/>
                    </a:ln>
                  </pic:spPr>
                </pic:pic>
              </a:graphicData>
            </a:graphic>
          </wp:inline>
        </w:drawing>
      </w:r>
    </w:p>
    <w:p w14:paraId="714A7461">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28" name="图片 2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 xml:space="preserve">01 </w:t>
      </w:r>
      <w:r>
        <w:rPr>
          <w:rFonts w:hint="default" w:ascii="Times New Roman" w:hAnsi="Times New Roman" w:eastAsia="微软雅黑" w:cs="Times New Roman"/>
          <w:b/>
          <w:color w:val="984807" w:themeColor="accent6" w:themeShade="80"/>
          <w:sz w:val="24"/>
          <w:lang w:val="en-US" w:eastAsia="zh-CN"/>
        </w:rPr>
        <w:t>四类生物学物质辨析</w:t>
      </w:r>
    </w:p>
    <w:p w14:paraId="44ECA5E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27" name="图片 2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AD4BD1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1.能源物质</w:t>
      </w:r>
    </w:p>
    <w:tbl>
      <w:tblPr>
        <w:tblStyle w:val="9"/>
        <w:tblW w:w="9120" w:type="dxa"/>
        <w:jc w:val="center"/>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4"/>
        <w:gridCol w:w="2085"/>
        <w:gridCol w:w="5931"/>
      </w:tblGrid>
      <w:tr w14:paraId="343FDDB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59" w:hRule="atLeast"/>
          <w:jc w:val="center"/>
        </w:trPr>
        <w:tc>
          <w:tcPr>
            <w:tcW w:w="110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16ED14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物质</w:t>
            </w:r>
          </w:p>
        </w:tc>
        <w:tc>
          <w:tcPr>
            <w:tcW w:w="208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AA2FC9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功能</w:t>
            </w:r>
          </w:p>
        </w:tc>
        <w:tc>
          <w:tcPr>
            <w:tcW w:w="593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4D62B0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说明</w:t>
            </w:r>
          </w:p>
        </w:tc>
      </w:tr>
      <w:tr w14:paraId="1E7BCBA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1078"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38F14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糖类</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470E7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主要的能源物质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A08E5A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一般由C、H、O三种元素组成，通过彻底氧化分解生成CO₂和H₂O，释放能量用于生命活动</w:t>
            </w:r>
          </w:p>
        </w:tc>
      </w:tr>
      <w:tr w14:paraId="233CE6B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1425"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341A48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脂肪</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3104A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良好的储能物质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3374F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由C、H、O三种元素构成，与糖类相比，相同质量的脂肪氧的含量远低于糖类，而氢的含量更高，氧化分解时释放的能量更多，消耗的O₂更多</w:t>
            </w:r>
          </w:p>
        </w:tc>
      </w:tr>
      <w:tr w14:paraId="4E6C59D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1090"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43C3C0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ATP</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E822A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直接能源物质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B112B6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高能磷酸化合物，通过ATP和ADP的相互转化，在吸能反应和放能反应之间进行能量转移</w:t>
            </w:r>
          </w:p>
        </w:tc>
      </w:tr>
    </w:tbl>
    <w:p w14:paraId="7CEC782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p>
    <w:p w14:paraId="4F9ACB21">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bCs/>
          <w:szCs w:val="21"/>
          <w:highlight w:val="none"/>
          <w:lang w:val="en-US" w:eastAsia="zh-CN"/>
        </w:rPr>
      </w:pPr>
      <w:r>
        <w:rPr>
          <w:rFonts w:hint="default" w:ascii="Times New Roman" w:hAnsi="Times New Roman" w:cs="Times New Roman" w:eastAsiaTheme="majorEastAsia"/>
          <w:szCs w:val="21"/>
          <w:highlight w:val="none"/>
          <w:lang w:val="en-US" w:eastAsia="zh-CN"/>
        </w:rPr>
        <w:drawing>
          <wp:inline distT="0" distB="0" distL="114300" distR="114300">
            <wp:extent cx="333375" cy="333375"/>
            <wp:effectExtent l="0" t="0" r="0" b="0"/>
            <wp:docPr id="21" name="图片 21"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注意"/>
                    <pic:cNvPicPr>
                      <a:picLocks noChangeAspect="1"/>
                    </pic:cNvPicPr>
                  </pic:nvPicPr>
                  <pic:blipFill>
                    <a:blip r:embed="rId15"/>
                    <a:stretch>
                      <a:fillRect/>
                    </a:stretch>
                  </pic:blipFill>
                  <pic:spPr>
                    <a:xfrm>
                      <a:off x="0" y="0"/>
                      <a:ext cx="333375" cy="333375"/>
                    </a:xfrm>
                    <a:prstGeom prst="rect">
                      <a:avLst/>
                    </a:prstGeom>
                  </pic:spPr>
                </pic:pic>
              </a:graphicData>
            </a:graphic>
          </wp:inline>
        </w:drawing>
      </w:r>
      <w:r>
        <w:rPr>
          <w:rFonts w:hint="default" w:ascii="Times New Roman" w:hAnsi="Times New Roman" w:cs="Times New Roman" w:eastAsiaTheme="majorEastAsia"/>
          <w:b/>
          <w:bCs/>
          <w:szCs w:val="21"/>
          <w:highlight w:val="none"/>
          <w:lang w:val="en-US" w:eastAsia="zh-CN"/>
        </w:rPr>
        <w:t>特别注意：“A”在不同结构中的含义</w:t>
      </w:r>
    </w:p>
    <w:tbl>
      <w:tblPr>
        <w:tblStyle w:val="9"/>
        <w:tblW w:w="7231" w:type="dxa"/>
        <w:jc w:val="center"/>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23"/>
        <w:gridCol w:w="2423"/>
        <w:gridCol w:w="2385"/>
      </w:tblGrid>
      <w:tr w14:paraId="4198476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77EE3A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color w:val="000000"/>
                <w:lang w:val="en-US" w:eastAsia="zh-CN"/>
              </w:rPr>
            </w:pPr>
            <w:r>
              <w:rPr>
                <w:rFonts w:hint="default" w:ascii="Times New Roman" w:hAnsi="Times New Roman" w:cs="Times New Roman"/>
                <w:b/>
                <w:color w:val="000000"/>
                <w:lang w:val="en-US" w:eastAsia="zh-CN"/>
              </w:rPr>
              <w:t>物质结构</w:t>
            </w:r>
          </w:p>
        </w:tc>
        <w:tc>
          <w:tcPr>
            <w:tcW w:w="24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B38272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“A”的含义</w:t>
            </w:r>
          </w:p>
        </w:tc>
        <w:tc>
          <w:tcPr>
            <w:tcW w:w="238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F3368B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物质名称（简称）</w:t>
            </w:r>
          </w:p>
        </w:tc>
      </w:tr>
      <w:tr w14:paraId="30BD111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89B40B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val="0"/>
                <w:color w:val="000000"/>
                <w:lang w:val="en-US" w:eastAsia="zh-CN"/>
              </w:rPr>
            </w:pPr>
            <w:r>
              <w:rPr>
                <w:rFonts w:hint="default" w:ascii="Times New Roman" w:hAnsi="Times New Roman" w:cs="Times New Roman"/>
                <w:b w:val="0"/>
                <w:color w:val="000000"/>
                <w:lang w:val="en-US" w:eastAsia="zh-CN"/>
              </w:rPr>
              <w:t>A-P~P~P</w:t>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DA6DCE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腺苷（腺嘌呤+核糖）</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C1368C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ATP</w:t>
            </w:r>
          </w:p>
        </w:tc>
      </w:tr>
      <w:tr w14:paraId="3C9B243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465A52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708660" cy="361950"/>
                  <wp:effectExtent l="0" t="0" r="2540" b="635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708660" cy="361950"/>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CD70A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927C4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核苷酸</w:t>
            </w:r>
          </w:p>
        </w:tc>
      </w:tr>
      <w:tr w14:paraId="19DB284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DA007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682625" cy="276225"/>
                  <wp:effectExtent l="0" t="0" r="3175" b="31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rcRect t="222"/>
                          <a:stretch>
                            <a:fillRect/>
                          </a:stretch>
                        </pic:blipFill>
                        <pic:spPr>
                          <a:xfrm>
                            <a:off x="0" y="0"/>
                            <a:ext cx="682625" cy="276225"/>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9A67D3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腺嘌呤脱氧核苷酸</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51263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DNA</w:t>
            </w:r>
          </w:p>
        </w:tc>
      </w:tr>
      <w:tr w14:paraId="4ED5741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BF153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737235" cy="271780"/>
                  <wp:effectExtent l="0" t="0" r="1206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737235" cy="271780"/>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09EA4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腺嘌呤核糖核苷酸</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892A4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r>
      <w:tr w14:paraId="7C4ED3B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7231" w:type="dxa"/>
            <w:gridSpan w:val="3"/>
            <w:tcBorders>
              <w:top w:val="single" w:color="F79646" w:sz="4" w:space="0"/>
              <w:left w:val="single" w:color="F79646" w:sz="4" w:space="0"/>
              <w:bottom w:val="single" w:color="F79646" w:sz="4" w:space="0"/>
              <w:right w:val="single" w:color="F79646" w:sz="4" w:space="0"/>
            </w:tcBorders>
            <w:shd w:val="clear" w:color="auto" w:fill="FFFFFF"/>
            <w:vAlign w:val="center"/>
          </w:tcPr>
          <w:p w14:paraId="7B8B640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val="0"/>
                <w:color w:val="000000"/>
                <w:lang w:val="en-US" w:eastAsia="zh-CN"/>
              </w:rPr>
            </w:pPr>
            <w:r>
              <w:rPr>
                <w:rFonts w:hint="default" w:ascii="Times New Roman" w:hAnsi="Times New Roman" w:cs="Times New Roman"/>
                <w:b w:val="0"/>
                <w:color w:val="000000"/>
                <w:lang w:val="en-US" w:eastAsia="zh-CN"/>
              </w:rPr>
              <w:t>以上物质中所有的“A”都含有腺嘌呤</w:t>
            </w:r>
          </w:p>
        </w:tc>
      </w:tr>
    </w:tbl>
    <w:p w14:paraId="0040078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lang w:val="en-US" w:eastAsia="zh-CN"/>
        </w:rPr>
      </w:pPr>
    </w:p>
    <w:p w14:paraId="361CE35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2.核酸</w:t>
      </w:r>
    </w:p>
    <w:tbl>
      <w:tblPr>
        <w:tblStyle w:val="9"/>
        <w:tblW w:w="965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89"/>
        <w:gridCol w:w="1320"/>
        <w:gridCol w:w="1741"/>
        <w:gridCol w:w="5508"/>
      </w:tblGrid>
      <w:tr w14:paraId="338C83E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76" w:hRule="atLeast"/>
        </w:trPr>
        <w:tc>
          <w:tcPr>
            <w:tcW w:w="108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0B74B7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132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5F5EA3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分类</w:t>
            </w:r>
          </w:p>
        </w:tc>
        <w:tc>
          <w:tcPr>
            <w:tcW w:w="174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4FB501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550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E21434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270A99D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E5AE1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66CC05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病毒RNA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874A1A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遗传物质</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CC53D7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RNA病毒的遗传物质，通常为单链结构，易发生变异而逃避二次免疫，导致难以研究针对RNA病毒的疫苗</w:t>
            </w:r>
          </w:p>
        </w:tc>
      </w:tr>
      <w:tr w14:paraId="20CE22B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4"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56C52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D07ED7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mRNA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099FF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基因表达的载体</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5D427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通过转录获取DNA的信息并存储在mRNA的碱基序列中，作为基因表达过程中的中间分子</w:t>
            </w:r>
          </w:p>
        </w:tc>
      </w:tr>
      <w:tr w14:paraId="0D6149F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989"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ADA9E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19959C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tRNA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1EEFE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转运氨基酸</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607894">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在三叶草的叶形结构中存在反密码子，可配对读取密码子的序列，并携带对应的氨基酸，将mRNA碱基序列翻译为氨基酸序列</w:t>
            </w:r>
          </w:p>
        </w:tc>
      </w:tr>
      <w:tr w14:paraId="7C43677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674"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3613A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FF2335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E581D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可参与组成核糖体，催化多肽的合成</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3DE63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核糖体中的RNA，具有催化活性，催化氨基酸脱水缩合形成多肽</w:t>
            </w:r>
          </w:p>
        </w:tc>
      </w:tr>
      <w:tr w14:paraId="216149C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28" w:hRule="atLeast"/>
        </w:trPr>
        <w:tc>
          <w:tcPr>
            <w:tcW w:w="2409"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2AD0049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DNA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62C28C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遗传物质</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B3EC4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碱基的排列顺序储存大量的遗传信息，通过稳定的双螺旋结构保持遗传信息的稳定性，通过半保留复制保证遗传的稳定性。是所有细胞生物和DNA病毒的遗传物质</w:t>
            </w:r>
          </w:p>
        </w:tc>
      </w:tr>
    </w:tbl>
    <w:p w14:paraId="16C77DD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lang w:val="en-US" w:eastAsia="zh-CN"/>
        </w:rPr>
      </w:pPr>
    </w:p>
    <w:p w14:paraId="0291A8C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3.信息分子及其它物质</w:t>
      </w:r>
    </w:p>
    <w:p w14:paraId="4167889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（1）信息分子</w:t>
      </w:r>
    </w:p>
    <w:tbl>
      <w:tblPr>
        <w:tblStyle w:val="9"/>
        <w:tblW w:w="973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5"/>
        <w:gridCol w:w="3555"/>
        <w:gridCol w:w="4748"/>
      </w:tblGrid>
      <w:tr w14:paraId="678047A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526" w:hRule="atLeast"/>
        </w:trPr>
        <w:tc>
          <w:tcPr>
            <w:tcW w:w="1435"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504F47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355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55D9597">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474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BDF72F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65292A0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785"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9AF5E3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神经递质</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029BA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主要在神经细胞之间传递信息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DAAB77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未兴奋时储存在突触前神经元内的突触小泡中，兴奋时通过胞吐释放至突触间隙，作用于突触后膜的特异性受体，传递信息</w:t>
            </w:r>
          </w:p>
        </w:tc>
      </w:tr>
      <w:tr w14:paraId="010BF39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37"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103293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激素</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A71264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在内分泌腺和靶细胞之间传递信息，调节生命活动</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191DCD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内分泌腺分泌激素，通过体液运输到全身各处，通过与受体结合作用于靶器官和靶细胞</w:t>
            </w:r>
          </w:p>
        </w:tc>
      </w:tr>
      <w:tr w14:paraId="295C588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67"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FEAF2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细胞因子</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C8617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主要在免疫细胞等之间传递信息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5DFDF4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均为蛋白质，大部分由免疫细胞分泌，在受到相应刺激时产生，调节免疫系统的功能等</w:t>
            </w:r>
          </w:p>
        </w:tc>
      </w:tr>
      <w:tr w14:paraId="6E83AD0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764"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2579C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CO₂、H⁺等</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A99C6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在细胞外传递特定信息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BAE03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在特定调节过程中传递信息，如CO₂通过刺激脑干调节呼吸运动</w:t>
            </w:r>
          </w:p>
        </w:tc>
      </w:tr>
    </w:tbl>
    <w:p w14:paraId="4970113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val="0"/>
          <w:bCs/>
          <w:color w:val="auto"/>
          <w:sz w:val="21"/>
          <w:szCs w:val="21"/>
          <w:lang w:val="en-US" w:eastAsia="zh-CN"/>
        </w:rPr>
      </w:pPr>
    </w:p>
    <w:p w14:paraId="2EB2E9B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r>
        <w:rPr>
          <w:rFonts w:hint="eastAsia" w:ascii="Times New Roman" w:hAnsi="Times New Roman" w:eastAsia="宋体" w:cs="Times New Roman"/>
          <w:b w:val="0"/>
          <w:bCs/>
          <w:color w:val="auto"/>
          <w:sz w:val="21"/>
          <w:szCs w:val="21"/>
          <w:lang w:val="en-US" w:eastAsia="zh-CN"/>
        </w:rPr>
        <w:t>其他物质</w:t>
      </w:r>
    </w:p>
    <w:tbl>
      <w:tblPr>
        <w:tblStyle w:val="9"/>
        <w:tblW w:w="955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0"/>
        <w:gridCol w:w="1890"/>
        <w:gridCol w:w="6458"/>
      </w:tblGrid>
      <w:tr w14:paraId="2074FFF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46" w:hRule="atLeast"/>
        </w:trPr>
        <w:tc>
          <w:tcPr>
            <w:tcW w:w="121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8F3B9D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189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5043BD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645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1A50EB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1D05774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74"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5CE36F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酶</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1480A0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催化化学反应</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60084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大部分酶化学本质是蛋白质，少数是RNA，具有高效性、专一性及作用条件较温和等特性，可以使化学反应高效地进行</w:t>
            </w:r>
          </w:p>
        </w:tc>
      </w:tr>
      <w:tr w14:paraId="4B7F696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46"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06DD7C">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抗体</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F32494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特异性结合抗原</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B75D05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由浆细胞分泌的蛋白质，可以和抗原特异性结合并形成沉淀等，是特异性免疫中重要的免疫活性物质</w:t>
            </w:r>
          </w:p>
        </w:tc>
      </w:tr>
      <w:tr w14:paraId="71D07BB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611"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864DB91">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转运蛋白</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1EC6E2">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物质运输</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95CD0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在生物膜上进行物质的运输，包括载体蛋白和通道蛋白，通过特定的空间结构进行物质的特异性运输</w:t>
            </w:r>
          </w:p>
        </w:tc>
      </w:tr>
    </w:tbl>
    <w:p w14:paraId="6C5CF6F6">
      <w:pPr>
        <w:pStyle w:val="4"/>
        <w:keepNext w:val="0"/>
        <w:keepLines w:val="0"/>
        <w:pageBreakBefore w:val="0"/>
        <w:widowControl/>
        <w:tabs>
          <w:tab w:val="left" w:pos="4200"/>
          <w:tab w:val="left" w:pos="7560"/>
        </w:tabs>
        <w:kinsoku/>
        <w:wordWrap/>
        <w:overflowPunct/>
        <w:topLinePunct w:val="0"/>
        <w:autoSpaceDE/>
        <w:autoSpaceDN/>
        <w:bidi w:val="0"/>
        <w:adjustRightInd w:val="0"/>
        <w:snapToGrid w:val="0"/>
        <w:spacing w:line="360" w:lineRule="auto"/>
        <w:ind w:left="-2" w:leftChars="-1" w:firstLine="420" w:firstLineChars="200"/>
        <w:contextualSpacing/>
        <w:textAlignment w:val="center"/>
        <w:rPr>
          <w:rFonts w:hint="default" w:ascii="Times New Roman" w:hAnsi="Times New Roman" w:cs="Times New Roman"/>
          <w:bCs/>
        </w:rPr>
      </w:pPr>
    </w:p>
    <w:p w14:paraId="19C1D780">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【思维延伸】</w:t>
      </w:r>
    </w:p>
    <w:p w14:paraId="182C5304">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spacing w:line="360" w:lineRule="auto"/>
        <w:jc w:val="both"/>
        <w:textAlignment w:val="cente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信息分子包含各类小分子及一些多肽类、蛋白质类等物质，在不同的调节系统中发挥作用，但都具有特异性。</w:t>
      </w:r>
    </w:p>
    <w:p w14:paraId="4B0F7909">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spacing w:line="360" w:lineRule="auto"/>
        <w:jc w:val="both"/>
        <w:textAlignment w:val="center"/>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细胞内的糖类、脂质、蛋白质等物质可以通过代谢相互转化。但是糖类和脂肪之间的转化程度有明显差异。糖类在供应充足的情况下，可以大量转化为脂肪；而脂肪一般只在糖类供能不足时，才会分解供能，而且不能大量转化为糖类。</w:t>
      </w:r>
    </w:p>
    <w:p w14:paraId="2AA06D3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376092" w:themeColor="accent1" w:themeShade="BF"/>
          <w:sz w:val="24"/>
          <w:lang w:val="en-US" w:eastAsia="zh-CN"/>
        </w:rPr>
      </w:pPr>
    </w:p>
    <w:p w14:paraId="6385D4D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9525" b="9525"/>
            <wp:docPr id="7" name="图片 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15DE273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lang w:val="en-US" w:eastAsia="zh-CN"/>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default" w:ascii="Times New Roman" w:hAnsi="Times New Roman" w:eastAsia="宋体" w:cs="Times New Roman"/>
        </w:rPr>
        <w:t>1．（2024·</w:t>
      </w:r>
      <w:r>
        <w:rPr>
          <w:rFonts w:hint="default" w:ascii="Times New Roman" w:hAnsi="Times New Roman" w:eastAsia="宋体" w:cs="Times New Roman"/>
          <w:lang w:val="en-US" w:eastAsia="zh-CN"/>
        </w:rPr>
        <w:t>河北卷</w:t>
      </w:r>
      <w:r>
        <w:rPr>
          <w:rFonts w:hint="default" w:ascii="Times New Roman" w:hAnsi="Times New Roman" w:eastAsia="宋体" w:cs="Times New Roman"/>
        </w:rPr>
        <w:t>）</w:t>
      </w:r>
      <w:r>
        <w:rPr>
          <w:rFonts w:hint="default" w:ascii="Times New Roman" w:hAnsi="Times New Roman" w:eastAsia="宋体" w:cs="Times New Roman"/>
          <w:lang w:val="en-US" w:eastAsia="zh-CN"/>
        </w:rPr>
        <w:t>细胞内不具备运输功能的物质或结构是（   ）</w:t>
      </w:r>
    </w:p>
    <w:p w14:paraId="3DB0DEC4">
      <w:pPr>
        <w:keepNext w:val="0"/>
        <w:keepLines w:val="0"/>
        <w:pageBreakBefore w:val="0"/>
        <w:kinsoku/>
        <w:wordWrap/>
        <w:overflowPunct/>
        <w:topLinePunct w:val="0"/>
        <w:autoSpaceDE/>
        <w:autoSpaceDN/>
        <w:bidi w:val="0"/>
        <w:spacing w:line="360" w:lineRule="auto"/>
        <w:ind w:left="380"/>
        <w:jc w:val="left"/>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rPr>
        <w:t>A．</w:t>
      </w:r>
      <w:r>
        <w:rPr>
          <w:rFonts w:hint="default" w:ascii="Times New Roman" w:hAnsi="Times New Roman" w:eastAsia="宋体" w:cs="Times New Roman"/>
          <w:lang w:val="en-US" w:eastAsia="zh-CN"/>
        </w:rPr>
        <w:t>结合水</w:t>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tab/>
      </w:r>
      <w:r>
        <w:rPr>
          <w:rFonts w:hint="default" w:ascii="Times New Roman" w:hAnsi="Times New Roman" w:eastAsia="宋体" w:cs="Times New Roman"/>
        </w:rPr>
        <w:t>B．</w:t>
      </w:r>
      <w:r>
        <w:rPr>
          <w:rFonts w:hint="default" w:ascii="Times New Roman" w:hAnsi="Times New Roman" w:eastAsia="宋体" w:cs="Times New Roman"/>
          <w:lang w:val="en-US" w:eastAsia="zh-CN"/>
        </w:rPr>
        <w:t>囊泡</w:t>
      </w:r>
    </w:p>
    <w:p w14:paraId="317D5F54">
      <w:pPr>
        <w:keepNext w:val="0"/>
        <w:keepLines w:val="0"/>
        <w:pageBreakBefore w:val="0"/>
        <w:kinsoku/>
        <w:wordWrap/>
        <w:overflowPunct/>
        <w:topLinePunct w:val="0"/>
        <w:autoSpaceDE/>
        <w:autoSpaceDN/>
        <w:bidi w:val="0"/>
        <w:spacing w:line="360" w:lineRule="auto"/>
        <w:ind w:left="380"/>
        <w:jc w:val="left"/>
        <w:textAlignment w:val="center"/>
        <w:rPr>
          <w:rFonts w:hint="default" w:ascii="Times New Roman" w:hAnsi="Times New Roman" w:eastAsia="宋体" w:cs="Times New Roman"/>
          <w:lang w:val="en-US" w:eastAsia="zh-CN"/>
        </w:rPr>
      </w:pPr>
      <w:r>
        <w:rPr>
          <w:rFonts w:hint="default" w:ascii="Times New Roman" w:hAnsi="Times New Roman" w:eastAsia="宋体" w:cs="Times New Roman"/>
        </w:rPr>
        <w:t>C．</w:t>
      </w:r>
      <w:r>
        <w:rPr>
          <w:rFonts w:hint="default" w:ascii="Times New Roman" w:hAnsi="Times New Roman" w:eastAsia="宋体" w:cs="Times New Roman"/>
          <w:lang w:val="en-US" w:eastAsia="zh-CN"/>
        </w:rPr>
        <w:t>细胞骨架</w:t>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tab/>
      </w:r>
      <w:r>
        <w:rPr>
          <w:rFonts w:hint="default" w:ascii="Times New Roman" w:hAnsi="Times New Roman" w:eastAsia="宋体" w:cs="Times New Roman"/>
          <w:lang w:val="en-US" w:eastAsia="zh-CN"/>
        </w:rPr>
        <w:tab/>
      </w:r>
      <w:r>
        <w:rPr>
          <w:rFonts w:hint="default" w:ascii="Times New Roman" w:hAnsi="Times New Roman" w:eastAsia="宋体" w:cs="Times New Roman"/>
        </w:rPr>
        <w:t>D．</w:t>
      </w:r>
      <w:r>
        <w:rPr>
          <w:rFonts w:hint="default" w:ascii="Times New Roman" w:hAnsi="Times New Roman" w:eastAsia="宋体" w:cs="Times New Roman"/>
          <w:lang w:val="en-US" w:eastAsia="zh-CN"/>
        </w:rPr>
        <w:t>tRNA</w:t>
      </w:r>
    </w:p>
    <w:p w14:paraId="418BF0F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0396E5F2">
      <w:pPr>
        <w:shd w:val="clear" w:color="auto" w:fill="auto"/>
        <w:spacing w:line="360" w:lineRule="auto"/>
        <w:jc w:val="left"/>
        <w:textAlignment w:val="center"/>
        <w:rPr>
          <w:rFonts w:hint="eastAsia" w:ascii="宋体" w:hAnsi="宋体" w:eastAsia="宋体" w:cs="宋体"/>
          <w:sz w:val="21"/>
          <w:szCs w:val="21"/>
        </w:rPr>
      </w:pPr>
      <w:r>
        <w:rPr>
          <w:rFonts w:hint="default" w:ascii="Times New Roman" w:hAnsi="Times New Roman" w:cs="Times New Roman" w:eastAsiaTheme="majorEastAsia"/>
        </w:rPr>
        <w:t>1．</w:t>
      </w:r>
      <w:r>
        <w:rPr>
          <w:rFonts w:hint="eastAsia" w:ascii="宋体" w:hAnsi="宋体" w:eastAsia="宋体" w:cs="宋体"/>
          <w:sz w:val="21"/>
          <w:szCs w:val="21"/>
        </w:rPr>
        <w:t>电影《哪吒2》上映之后迅速火遍全球，其中，太乙真人用藕粉给哪吒和敖丙重塑肉身的情节可以说是电影的关键情节之一。现实中藕粉中除了含有淀粉、蛋白质以外，还含有钙、铁、磷以及多种维生素，具有养血益气、通便止泻、健脾开胃、清热等功效。下列叙述正确的是（　　）</w:t>
      </w:r>
    </w:p>
    <w:p w14:paraId="33637D65">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A．新鲜莲藕中含量最多的化合物是蛋白质</w:t>
      </w:r>
    </w:p>
    <w:p w14:paraId="5B799146">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B．“无糖”藕粉中含有的淀粉无甜味，糖尿病人可放心食用</w:t>
      </w:r>
    </w:p>
    <w:p w14:paraId="6F7D138F">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C．藕粉中所含蛋白质能被人体消化分解成氨基酸之后重新利用</w:t>
      </w:r>
    </w:p>
    <w:p w14:paraId="6EF3AFF6">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D．莲藕中含有的钙、铁、磷等大量元素主要以化合物的形式存在</w:t>
      </w:r>
    </w:p>
    <w:p w14:paraId="5F83256A">
      <w:pPr>
        <w:shd w:val="clear" w:color="auto" w:fill="auto"/>
        <w:spacing w:line="360" w:lineRule="auto"/>
        <w:jc w:val="left"/>
        <w:textAlignment w:val="center"/>
        <w:rPr>
          <w:rFonts w:hint="eastAsia" w:ascii="宋体" w:hAnsi="宋体" w:eastAsia="宋体" w:cs="宋体"/>
          <w:sz w:val="21"/>
          <w:szCs w:val="21"/>
        </w:rPr>
      </w:pPr>
      <w:r>
        <w:rPr>
          <w:rFonts w:hint="default" w:ascii="Times New Roman" w:hAnsi="Times New Roman" w:cs="Times New Roman" w:eastAsiaTheme="majorEastAsia"/>
        </w:rPr>
        <w:t>2．</w:t>
      </w:r>
      <w:r>
        <w:rPr>
          <w:rFonts w:hint="eastAsia" w:ascii="宋体" w:hAnsi="宋体" w:eastAsia="宋体" w:cs="宋体"/>
          <w:sz w:val="21"/>
          <w:szCs w:val="21"/>
        </w:rPr>
        <w:t>四川火锅的起源可以追溯到清朝末年，火锅的流行与四川的地理环境和气候条件密切相关。四川红汤火锅以其鲜红的辣椒和花椒为特色，汤底浓郁，味道麻辣鲜香。火锅的食材种类繁多，从常见的肉类、海鲜到各种蔬菜、豆制品，几乎无所不包。其中，毛肚、黄喉、鸭肠和脑花是四川火锅的经典食材。相关叙述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6CE182D7">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A．红油火锅中的植物脂肪富含饱和脂肪酸，熔点较高，在室温时呈液态</w:t>
      </w:r>
    </w:p>
    <w:p w14:paraId="79D0CADF">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B．脑花中含量丰富的磷脂是构成细胞膜、核膜和核糖体、线粒体等细胞器膜的重要成分</w:t>
      </w:r>
    </w:p>
    <w:p w14:paraId="474E6A94">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C．火锅食材中的蛋白质、纤维素、淀粉等都是以碳链为基本骨架的生物大分子</w:t>
      </w:r>
    </w:p>
    <w:p w14:paraId="0E80F2BD">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D．涮牛肉的过程中高温使蛋白质中的肽键、二硫键等断裂，空间结构变得伸展、松散</w:t>
      </w:r>
    </w:p>
    <w:p w14:paraId="670BDBAD">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eastAsia" w:ascii="Times New Roman" w:hAnsi="Times New Roman" w:cs="Times New Roman" w:eastAsiaTheme="majorEastAsia"/>
          <w:lang w:val="en-US" w:eastAsia="zh-CN"/>
        </w:rPr>
        <w:t>3</w:t>
      </w:r>
      <w:r>
        <w:rPr>
          <w:rFonts w:hint="default" w:ascii="Times New Roman" w:hAnsi="Times New Roman" w:cs="Times New Roman" w:eastAsiaTheme="majorEastAsia"/>
          <w:lang w:val="en-US" w:eastAsia="zh-CN"/>
        </w:rPr>
        <w:t>．“白日不到处，青春恰自来。苔花如米小，也学牡丹开。”结合核酸知识分析，下列关于苔藓和牡丹的叙述，正确的是（    ）</w:t>
      </w:r>
    </w:p>
    <w:p w14:paraId="742BB2A3">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A．苔藓与牡丹都只含DNA，不含RNA</w:t>
      </w:r>
    </w:p>
    <w:p w14:paraId="4585F21E">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B．病毒核酸的元素组成与苔藓的相同，与牡丹的不同</w:t>
      </w:r>
    </w:p>
    <w:p w14:paraId="7FA4D308">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C．DNA和RNA的成分的主要区别是五碳糖和碱基的种类都有差异</w:t>
      </w:r>
    </w:p>
    <w:p w14:paraId="25AD67AC">
      <w:pPr>
        <w:shd w:val="clear" w:color="auto" w:fill="auto"/>
        <w:spacing w:line="360" w:lineRule="auto"/>
        <w:jc w:val="left"/>
        <w:textAlignment w:val="center"/>
        <w:rPr>
          <w:rFonts w:hint="default" w:ascii="Times New Roman" w:hAnsi="Times New Roman" w:cs="Times New Roman" w:eastAsiaTheme="majorEastAsia"/>
          <w:lang w:val="en-US" w:eastAsia="zh-CN"/>
        </w:rPr>
      </w:pPr>
      <w:r>
        <w:rPr>
          <w:rFonts w:hint="default" w:ascii="Times New Roman" w:hAnsi="Times New Roman" w:cs="Times New Roman" w:eastAsiaTheme="majorEastAsia"/>
          <w:lang w:val="en-US" w:eastAsia="zh-CN"/>
        </w:rPr>
        <w:t>D．苔藓与牡丹的遗传信息都储存在核糖核苷酸的排列顺序中</w:t>
      </w:r>
    </w:p>
    <w:p w14:paraId="74E2D3C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color w:val="FF0000"/>
          <w:lang w:val="en-US" w:eastAsia="zh-CN"/>
        </w:rPr>
      </w:pPr>
    </w:p>
    <w:p w14:paraId="68DB58F2">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12" name="图片 1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0</w:t>
      </w:r>
      <w:r>
        <w:rPr>
          <w:rFonts w:hint="eastAsia" w:ascii="Times New Roman" w:hAnsi="Times New Roman" w:eastAsia="微软雅黑" w:cs="Times New Roman"/>
          <w:b/>
          <w:color w:val="984807" w:themeColor="accent6" w:themeShade="80"/>
          <w:sz w:val="24"/>
          <w:lang w:val="en-US" w:eastAsia="zh-CN"/>
        </w:rPr>
        <w:t>2</w:t>
      </w:r>
      <w:r>
        <w:rPr>
          <w:rFonts w:hint="default" w:ascii="Times New Roman" w:hAnsi="Times New Roman" w:eastAsia="微软雅黑" w:cs="Times New Roman"/>
          <w:b/>
          <w:color w:val="984807" w:themeColor="accent6" w:themeShade="80"/>
          <w:sz w:val="24"/>
        </w:rPr>
        <w:t xml:space="preserve"> </w:t>
      </w:r>
      <w:r>
        <w:rPr>
          <w:rFonts w:hint="default" w:ascii="Times New Roman" w:hAnsi="Times New Roman" w:eastAsia="微软雅黑" w:cs="Times New Roman"/>
          <w:b/>
          <w:color w:val="984807" w:themeColor="accent6" w:themeShade="80"/>
          <w:sz w:val="24"/>
          <w:lang w:val="en-US" w:eastAsia="zh-CN"/>
        </w:rPr>
        <w:t>通过蛋白质合成过程，理解细胞结构的分工协作</w:t>
      </w:r>
    </w:p>
    <w:p w14:paraId="70EBE70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13" name="图片 13"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4D81EE0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 解题技巧</w:t>
      </w:r>
    </w:p>
    <w:tbl>
      <w:tblPr>
        <w:tblStyle w:val="10"/>
        <w:tblW w:w="0" w:type="auto"/>
        <w:tblInd w:w="28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660"/>
        <w:gridCol w:w="6910"/>
      </w:tblGrid>
      <w:tr w14:paraId="5F6A864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FABF8F" w:themeFill="accent6" w:themeFillTint="99"/>
            <w:vAlign w:val="center"/>
          </w:tcPr>
          <w:p w14:paraId="42DC4F3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方法</w:t>
            </w:r>
          </w:p>
        </w:tc>
        <w:tc>
          <w:tcPr>
            <w:tcW w:w="6910" w:type="dxa"/>
            <w:tcBorders>
              <w:tl2br w:val="nil"/>
              <w:tr2bl w:val="nil"/>
            </w:tcBorders>
            <w:shd w:val="clear" w:color="auto" w:fill="FABF8F" w:themeFill="accent6" w:themeFillTint="99"/>
            <w:vAlign w:val="center"/>
          </w:tcPr>
          <w:p w14:paraId="4C970D5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内容</w:t>
            </w:r>
          </w:p>
        </w:tc>
      </w:tr>
      <w:tr w14:paraId="0DC4D9D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43271D6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线索追踪法</w:t>
            </w:r>
          </w:p>
        </w:tc>
        <w:tc>
          <w:tcPr>
            <w:tcW w:w="6910" w:type="dxa"/>
            <w:tcBorders>
              <w:tl2br w:val="nil"/>
              <w:tr2bl w:val="nil"/>
            </w:tcBorders>
            <w:vAlign w:val="center"/>
          </w:tcPr>
          <w:p w14:paraId="0A905F28">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以分泌蛋白为“追踪对象”，从基因指导合成到分泌到细胞外，全程标记经过的“车间”（细胞器）和“运输工具”（囊泡），形成完整路径链。</w:t>
            </w:r>
          </w:p>
        </w:tc>
      </w:tr>
      <w:tr w14:paraId="49361BB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6D822C1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角色定位法</w:t>
            </w:r>
          </w:p>
        </w:tc>
        <w:tc>
          <w:tcPr>
            <w:tcW w:w="6910" w:type="dxa"/>
            <w:tcBorders>
              <w:tl2br w:val="nil"/>
              <w:tr2bl w:val="nil"/>
            </w:tcBorders>
            <w:vAlign w:val="center"/>
          </w:tcPr>
          <w:p w14:paraId="0B798733">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为参与过程的每个细胞结构赋予明确“职能”，如“合成车间”“初加工车间”“动力车间”等，避免功能混淆。</w:t>
            </w:r>
          </w:p>
        </w:tc>
      </w:tr>
      <w:tr w14:paraId="35DB895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6CA09F5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关键辨析法</w:t>
            </w:r>
          </w:p>
        </w:tc>
        <w:tc>
          <w:tcPr>
            <w:tcW w:w="6910" w:type="dxa"/>
            <w:tcBorders>
              <w:tl2br w:val="nil"/>
              <w:tr2bl w:val="nil"/>
            </w:tcBorders>
            <w:vAlign w:val="center"/>
          </w:tcPr>
          <w:p w14:paraId="186FEC84">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聚焦易混点（如游离核糖体vs附着核糖体、内质网加工vs高尔基体加工），通过“功能场景”精准区分。</w:t>
            </w:r>
          </w:p>
        </w:tc>
      </w:tr>
    </w:tbl>
    <w:p w14:paraId="4C2C30D0">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073F217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 解题方法与思维框架</w:t>
      </w:r>
    </w:p>
    <w:p w14:paraId="350B36A6">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以“分泌蛋白合成运输”为典型案例，构建“结构→功能→协作”三维思维框架，具体如下：</w:t>
      </w:r>
    </w:p>
    <w:p w14:paraId="35729D3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（1）参与结构及核心职能</w:t>
      </w:r>
    </w:p>
    <w:tbl>
      <w:tblPr>
        <w:tblStyle w:val="9"/>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1780"/>
        <w:gridCol w:w="2940"/>
        <w:gridCol w:w="4880"/>
      </w:tblGrid>
      <w:tr w14:paraId="01D72A10">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ABF8F" w:themeFill="accent6" w:themeFillTint="99"/>
            <w:tcMar>
              <w:top w:w="60" w:type="dxa"/>
              <w:left w:w="120" w:type="dxa"/>
              <w:bottom w:w="30" w:type="dxa"/>
              <w:right w:w="120" w:type="dxa"/>
            </w:tcMar>
            <w:vAlign w:val="center"/>
          </w:tcPr>
          <w:p w14:paraId="627764A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细胞结构</w:t>
            </w:r>
          </w:p>
        </w:tc>
        <w:tc>
          <w:tcPr>
            <w:tcW w:w="2940" w:type="dxa"/>
            <w:tcBorders>
              <w:tl2br w:val="nil"/>
              <w:tr2bl w:val="nil"/>
            </w:tcBorders>
            <w:shd w:val="clear" w:color="auto" w:fill="FABF8F" w:themeFill="accent6" w:themeFillTint="99"/>
            <w:tcMar>
              <w:top w:w="60" w:type="dxa"/>
              <w:left w:w="120" w:type="dxa"/>
              <w:bottom w:w="30" w:type="dxa"/>
              <w:right w:w="120" w:type="dxa"/>
            </w:tcMar>
            <w:vAlign w:val="center"/>
          </w:tcPr>
          <w:p w14:paraId="67F8EDA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核心角色</w:t>
            </w:r>
          </w:p>
        </w:tc>
        <w:tc>
          <w:tcPr>
            <w:tcW w:w="4880" w:type="dxa"/>
            <w:tcBorders>
              <w:tl2br w:val="nil"/>
              <w:tr2bl w:val="nil"/>
            </w:tcBorders>
            <w:shd w:val="clear" w:color="auto" w:fill="FABF8F" w:themeFill="accent6" w:themeFillTint="99"/>
            <w:tcMar>
              <w:top w:w="60" w:type="dxa"/>
              <w:left w:w="120" w:type="dxa"/>
              <w:bottom w:w="30" w:type="dxa"/>
              <w:right w:w="120" w:type="dxa"/>
            </w:tcMar>
            <w:vAlign w:val="center"/>
          </w:tcPr>
          <w:p w14:paraId="7C7FB26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具体功能</w:t>
            </w:r>
          </w:p>
        </w:tc>
      </w:tr>
      <w:tr w14:paraId="46E3ED25">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61EA303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细胞核</w:t>
            </w:r>
          </w:p>
        </w:tc>
        <w:tc>
          <w:tcPr>
            <w:tcW w:w="2940" w:type="dxa"/>
            <w:tcBorders>
              <w:tl2br w:val="nil"/>
              <w:tr2bl w:val="nil"/>
            </w:tcBorders>
            <w:shd w:val="clear" w:color="auto" w:fill="FFFFFF"/>
            <w:tcMar>
              <w:top w:w="60" w:type="dxa"/>
              <w:left w:w="120" w:type="dxa"/>
              <w:bottom w:w="30" w:type="dxa"/>
              <w:right w:w="120" w:type="dxa"/>
            </w:tcMar>
            <w:vAlign w:val="center"/>
          </w:tcPr>
          <w:p w14:paraId="4B9BC14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指挥中心</w:t>
            </w:r>
          </w:p>
        </w:tc>
        <w:tc>
          <w:tcPr>
            <w:tcW w:w="4880" w:type="dxa"/>
            <w:tcBorders>
              <w:tl2br w:val="nil"/>
              <w:tr2bl w:val="nil"/>
            </w:tcBorders>
            <w:shd w:val="clear" w:color="auto" w:fill="FFFFFF"/>
            <w:tcMar>
              <w:top w:w="60" w:type="dxa"/>
              <w:left w:w="120" w:type="dxa"/>
              <w:bottom w:w="30" w:type="dxa"/>
              <w:right w:w="120" w:type="dxa"/>
            </w:tcMar>
            <w:vAlign w:val="center"/>
          </w:tcPr>
          <w:p w14:paraId="1F61C006">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通过转录合成mRNA，提供蛋白质合成的“蓝图”</w:t>
            </w:r>
          </w:p>
        </w:tc>
      </w:tr>
      <w:tr w14:paraId="72C6DD7C">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32DE918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核糖体（附着型）</w:t>
            </w:r>
          </w:p>
        </w:tc>
        <w:tc>
          <w:tcPr>
            <w:tcW w:w="2940" w:type="dxa"/>
            <w:tcBorders>
              <w:tl2br w:val="nil"/>
              <w:tr2bl w:val="nil"/>
            </w:tcBorders>
            <w:shd w:val="clear" w:color="auto" w:fill="FFFFFF"/>
            <w:tcMar>
              <w:top w:w="60" w:type="dxa"/>
              <w:left w:w="120" w:type="dxa"/>
              <w:bottom w:w="30" w:type="dxa"/>
              <w:right w:w="120" w:type="dxa"/>
            </w:tcMar>
            <w:vAlign w:val="center"/>
          </w:tcPr>
          <w:p w14:paraId="70EAFBE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合成车间</w:t>
            </w:r>
          </w:p>
        </w:tc>
        <w:tc>
          <w:tcPr>
            <w:tcW w:w="4880" w:type="dxa"/>
            <w:tcBorders>
              <w:tl2br w:val="nil"/>
              <w:tr2bl w:val="nil"/>
            </w:tcBorders>
            <w:shd w:val="clear" w:color="auto" w:fill="FFFFFF"/>
            <w:tcMar>
              <w:top w:w="60" w:type="dxa"/>
              <w:left w:w="120" w:type="dxa"/>
              <w:bottom w:w="30" w:type="dxa"/>
              <w:right w:w="120" w:type="dxa"/>
            </w:tcMar>
            <w:vAlign w:val="center"/>
          </w:tcPr>
          <w:p w14:paraId="0494805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结合mRNA，通过翻译合成分泌蛋白的初始肽链</w:t>
            </w:r>
          </w:p>
        </w:tc>
      </w:tr>
      <w:tr w14:paraId="591EA878">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503F8BA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内质网</w:t>
            </w:r>
          </w:p>
        </w:tc>
        <w:tc>
          <w:tcPr>
            <w:tcW w:w="2940" w:type="dxa"/>
            <w:tcBorders>
              <w:tl2br w:val="nil"/>
              <w:tr2bl w:val="nil"/>
            </w:tcBorders>
            <w:shd w:val="clear" w:color="auto" w:fill="FFFFFF"/>
            <w:tcMar>
              <w:top w:w="60" w:type="dxa"/>
              <w:left w:w="120" w:type="dxa"/>
              <w:bottom w:w="30" w:type="dxa"/>
              <w:right w:w="120" w:type="dxa"/>
            </w:tcMar>
            <w:vAlign w:val="center"/>
          </w:tcPr>
          <w:p w14:paraId="1C6D8FD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初加工车间+运输起点</w:t>
            </w:r>
          </w:p>
        </w:tc>
        <w:tc>
          <w:tcPr>
            <w:tcW w:w="4880" w:type="dxa"/>
            <w:tcBorders>
              <w:tl2br w:val="nil"/>
              <w:tr2bl w:val="nil"/>
            </w:tcBorders>
            <w:shd w:val="clear" w:color="auto" w:fill="FFFFFF"/>
            <w:tcMar>
              <w:top w:w="60" w:type="dxa"/>
              <w:left w:w="120" w:type="dxa"/>
              <w:bottom w:w="30" w:type="dxa"/>
              <w:right w:w="120" w:type="dxa"/>
            </w:tcMar>
            <w:vAlign w:val="center"/>
          </w:tcPr>
          <w:p w14:paraId="48319CC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对肽链进行折叠、组装、糖基化，形成有一定空间结构的蛋白质；通过囊泡将蛋白质运输至高尔基体</w:t>
            </w:r>
          </w:p>
        </w:tc>
      </w:tr>
      <w:tr w14:paraId="5F3C0063">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4CABE04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高尔基体</w:t>
            </w:r>
          </w:p>
        </w:tc>
        <w:tc>
          <w:tcPr>
            <w:tcW w:w="2940" w:type="dxa"/>
            <w:tcBorders>
              <w:tl2br w:val="nil"/>
              <w:tr2bl w:val="nil"/>
            </w:tcBorders>
            <w:shd w:val="clear" w:color="auto" w:fill="FFFFFF"/>
            <w:tcMar>
              <w:top w:w="60" w:type="dxa"/>
              <w:left w:w="120" w:type="dxa"/>
              <w:bottom w:w="30" w:type="dxa"/>
              <w:right w:w="120" w:type="dxa"/>
            </w:tcMar>
            <w:vAlign w:val="center"/>
          </w:tcPr>
          <w:p w14:paraId="2771BC4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精加工车间+分发中心</w:t>
            </w:r>
          </w:p>
        </w:tc>
        <w:tc>
          <w:tcPr>
            <w:tcW w:w="4880" w:type="dxa"/>
            <w:tcBorders>
              <w:tl2br w:val="nil"/>
              <w:tr2bl w:val="nil"/>
            </w:tcBorders>
            <w:shd w:val="clear" w:color="auto" w:fill="FFFFFF"/>
            <w:tcMar>
              <w:top w:w="60" w:type="dxa"/>
              <w:left w:w="120" w:type="dxa"/>
              <w:bottom w:w="30" w:type="dxa"/>
              <w:right w:w="120" w:type="dxa"/>
            </w:tcMar>
            <w:vAlign w:val="center"/>
          </w:tcPr>
          <w:p w14:paraId="0397007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对蛋白质进一步修饰（如剪切、加糖链），分类、包装后通过囊泡发送至细胞膜</w:t>
            </w:r>
          </w:p>
        </w:tc>
      </w:tr>
      <w:tr w14:paraId="0DE7A8CD">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53C112B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囊泡</w:t>
            </w:r>
          </w:p>
        </w:tc>
        <w:tc>
          <w:tcPr>
            <w:tcW w:w="2940" w:type="dxa"/>
            <w:tcBorders>
              <w:tl2br w:val="nil"/>
              <w:tr2bl w:val="nil"/>
            </w:tcBorders>
            <w:shd w:val="clear" w:color="auto" w:fill="FFFFFF"/>
            <w:tcMar>
              <w:top w:w="60" w:type="dxa"/>
              <w:left w:w="120" w:type="dxa"/>
              <w:bottom w:w="30" w:type="dxa"/>
              <w:right w:w="120" w:type="dxa"/>
            </w:tcMar>
            <w:vAlign w:val="center"/>
          </w:tcPr>
          <w:p w14:paraId="3A20787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运输工具</w:t>
            </w:r>
          </w:p>
        </w:tc>
        <w:tc>
          <w:tcPr>
            <w:tcW w:w="4880" w:type="dxa"/>
            <w:tcBorders>
              <w:tl2br w:val="nil"/>
              <w:tr2bl w:val="nil"/>
            </w:tcBorders>
            <w:shd w:val="clear" w:color="auto" w:fill="FFFFFF"/>
            <w:tcMar>
              <w:top w:w="60" w:type="dxa"/>
              <w:left w:w="120" w:type="dxa"/>
              <w:bottom w:w="30" w:type="dxa"/>
              <w:right w:w="120" w:type="dxa"/>
            </w:tcMar>
            <w:vAlign w:val="center"/>
          </w:tcPr>
          <w:p w14:paraId="375D4437">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连接内质网、高尔基体、细胞膜，实现蛋白质的定向运输</w:t>
            </w:r>
          </w:p>
        </w:tc>
      </w:tr>
      <w:tr w14:paraId="6CA25810">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00251B0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细胞膜</w:t>
            </w:r>
          </w:p>
        </w:tc>
        <w:tc>
          <w:tcPr>
            <w:tcW w:w="2940" w:type="dxa"/>
            <w:tcBorders>
              <w:tl2br w:val="nil"/>
              <w:tr2bl w:val="nil"/>
            </w:tcBorders>
            <w:shd w:val="clear" w:color="auto" w:fill="FFFFFF"/>
            <w:tcMar>
              <w:top w:w="60" w:type="dxa"/>
              <w:left w:w="120" w:type="dxa"/>
              <w:bottom w:w="30" w:type="dxa"/>
              <w:right w:w="120" w:type="dxa"/>
            </w:tcMar>
            <w:vAlign w:val="center"/>
          </w:tcPr>
          <w:p w14:paraId="3E8549D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出口大门</w:t>
            </w:r>
          </w:p>
        </w:tc>
        <w:tc>
          <w:tcPr>
            <w:tcW w:w="4880" w:type="dxa"/>
            <w:tcBorders>
              <w:tl2br w:val="nil"/>
              <w:tr2bl w:val="nil"/>
            </w:tcBorders>
            <w:shd w:val="clear" w:color="auto" w:fill="FFFFFF"/>
            <w:tcMar>
              <w:top w:w="60" w:type="dxa"/>
              <w:left w:w="120" w:type="dxa"/>
              <w:bottom w:w="30" w:type="dxa"/>
              <w:right w:w="120" w:type="dxa"/>
            </w:tcMar>
            <w:vAlign w:val="center"/>
          </w:tcPr>
          <w:p w14:paraId="4CB0574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通过胞吐作用将囊泡中的分泌蛋白释放到细胞外</w:t>
            </w:r>
          </w:p>
        </w:tc>
      </w:tr>
      <w:tr w14:paraId="11794E8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7A0E0E5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线粒体</w:t>
            </w:r>
          </w:p>
        </w:tc>
        <w:tc>
          <w:tcPr>
            <w:tcW w:w="2940" w:type="dxa"/>
            <w:tcBorders>
              <w:tl2br w:val="nil"/>
              <w:tr2bl w:val="nil"/>
            </w:tcBorders>
            <w:shd w:val="clear" w:color="auto" w:fill="FFFFFF"/>
            <w:tcMar>
              <w:top w:w="60" w:type="dxa"/>
              <w:left w:w="120" w:type="dxa"/>
              <w:bottom w:w="30" w:type="dxa"/>
              <w:right w:w="120" w:type="dxa"/>
            </w:tcMar>
            <w:vAlign w:val="center"/>
          </w:tcPr>
          <w:p w14:paraId="4CB932E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动力车间</w:t>
            </w:r>
          </w:p>
        </w:tc>
        <w:tc>
          <w:tcPr>
            <w:tcW w:w="4880" w:type="dxa"/>
            <w:tcBorders>
              <w:tl2br w:val="nil"/>
              <w:tr2bl w:val="nil"/>
            </w:tcBorders>
            <w:shd w:val="clear" w:color="auto" w:fill="FFFFFF"/>
            <w:tcMar>
              <w:top w:w="60" w:type="dxa"/>
              <w:left w:w="120" w:type="dxa"/>
              <w:bottom w:w="30" w:type="dxa"/>
              <w:right w:w="120" w:type="dxa"/>
            </w:tcMar>
            <w:vAlign w:val="center"/>
          </w:tcPr>
          <w:p w14:paraId="137E713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全程提供ATP，为翻译、囊泡运输、胞吐等耗能过程供能</w:t>
            </w:r>
          </w:p>
        </w:tc>
      </w:tr>
    </w:tbl>
    <w:p w14:paraId="1B883B0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（2）动态协作流程</w:t>
      </w:r>
    </w:p>
    <w:p w14:paraId="5007181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细胞核（转录合成mRNA）→ mRNA通过核孔进入细胞质 → 核糖体（翻译合成肽链）→ 内质网（初加工）→ 囊泡1 → 高尔基体（精加工、分类包装）→ 囊泡2 → 细胞膜（胞吐）→ 细胞外</w:t>
      </w:r>
    </w:p>
    <w:p w14:paraId="72FD708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【能量供应】线粒体全程供能</w:t>
      </w:r>
    </w:p>
    <w:p w14:paraId="670F6EAC">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kern w:val="2"/>
          <w:sz w:val="21"/>
          <w:szCs w:val="21"/>
          <w:lang w:val="en-US" w:eastAsia="zh-CN" w:bidi="ar-SA"/>
        </w:rPr>
        <w:t>（3）</w:t>
      </w:r>
      <w:r>
        <w:rPr>
          <w:rFonts w:hint="default" w:ascii="Times New Roman" w:hAnsi="Times New Roman" w:cs="Times New Roman" w:eastAsiaTheme="majorEastAsia"/>
          <w:szCs w:val="21"/>
          <w:lang w:val="en-US" w:eastAsia="zh-CN"/>
        </w:rPr>
        <w:t>关键易混点辨析</w:t>
      </w:r>
    </w:p>
    <w:tbl>
      <w:tblPr>
        <w:tblStyle w:val="10"/>
        <w:tblW w:w="0" w:type="auto"/>
        <w:tblInd w:w="27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3210"/>
        <w:gridCol w:w="6360"/>
      </w:tblGrid>
      <w:tr w14:paraId="673065C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shd w:val="clear" w:color="auto" w:fill="FABF8F" w:themeFill="accent6" w:themeFillTint="99"/>
            <w:vAlign w:val="center"/>
          </w:tcPr>
          <w:p w14:paraId="52C0BFC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对比</w:t>
            </w:r>
          </w:p>
        </w:tc>
        <w:tc>
          <w:tcPr>
            <w:tcW w:w="6360" w:type="dxa"/>
            <w:tcBorders>
              <w:tl2br w:val="nil"/>
              <w:tr2bl w:val="nil"/>
            </w:tcBorders>
            <w:shd w:val="clear" w:color="auto" w:fill="FABF8F" w:themeFill="accent6" w:themeFillTint="99"/>
            <w:vAlign w:val="center"/>
          </w:tcPr>
          <w:p w14:paraId="30A4A51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内容</w:t>
            </w:r>
          </w:p>
        </w:tc>
      </w:tr>
      <w:tr w14:paraId="6F8AC31E">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1D4E910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游离核糖体vs附着核糖体</w:t>
            </w:r>
          </w:p>
        </w:tc>
        <w:tc>
          <w:tcPr>
            <w:tcW w:w="6360" w:type="dxa"/>
            <w:tcBorders>
              <w:tl2br w:val="nil"/>
              <w:tr2bl w:val="nil"/>
            </w:tcBorders>
            <w:vAlign w:val="center"/>
          </w:tcPr>
          <w:p w14:paraId="0F23B562">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游离核糖体合成“胞内蛋白”（如呼吸酶），附着核糖体合成“分泌蛋白”“膜蛋白”（如载体蛋白）；分泌蛋白合成初期先在游离核糖体起始，再转移到内质网上附着合成。</w:t>
            </w:r>
          </w:p>
        </w:tc>
      </w:tr>
      <w:tr w14:paraId="1DCD10F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496215D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内质网vs高尔基体加工</w:t>
            </w:r>
          </w:p>
        </w:tc>
        <w:tc>
          <w:tcPr>
            <w:tcW w:w="6360" w:type="dxa"/>
            <w:tcBorders>
              <w:tl2br w:val="nil"/>
              <w:tr2bl w:val="nil"/>
            </w:tcBorders>
            <w:vAlign w:val="center"/>
          </w:tcPr>
          <w:p w14:paraId="417401A2">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内质网侧重“肽链折叠、初步糖基化”，形成蛋白质基本空间结构；高尔基体侧重“进一步修饰、分类包装”，决定蛋白质的运输去向。</w:t>
            </w:r>
          </w:p>
        </w:tc>
      </w:tr>
      <w:tr w14:paraId="26A9A48D">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707F286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膜结构转化</w:t>
            </w:r>
          </w:p>
        </w:tc>
        <w:tc>
          <w:tcPr>
            <w:tcW w:w="6360" w:type="dxa"/>
            <w:tcBorders>
              <w:tl2br w:val="nil"/>
              <w:tr2bl w:val="nil"/>
            </w:tcBorders>
            <w:vAlign w:val="center"/>
          </w:tcPr>
          <w:p w14:paraId="2F2131B6">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囊泡运输实现“内质网膜→高尔基体膜→细胞膜”的间接转化，体现生物膜系统的统一性。</w:t>
            </w:r>
          </w:p>
        </w:tc>
      </w:tr>
    </w:tbl>
    <w:p w14:paraId="051BD44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3. 答题模板</w:t>
      </w:r>
    </w:p>
    <w:p w14:paraId="4F531C5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当题目涉及“蛋白质合成与细胞器协作”时，按以下四步规范答题：</w:t>
      </w:r>
    </w:p>
    <w:tbl>
      <w:tblPr>
        <w:tblStyle w:val="10"/>
        <w:tblW w:w="0" w:type="auto"/>
        <w:tblInd w:w="26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240"/>
        <w:gridCol w:w="7360"/>
      </w:tblGrid>
      <w:tr w14:paraId="0D680FE3">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shd w:val="clear" w:color="auto" w:fill="FABF8F" w:themeFill="accent6" w:themeFillTint="99"/>
            <w:vAlign w:val="center"/>
          </w:tcPr>
          <w:p w14:paraId="347A1CF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步骤</w:t>
            </w:r>
          </w:p>
        </w:tc>
        <w:tc>
          <w:tcPr>
            <w:tcW w:w="7360" w:type="dxa"/>
            <w:tcBorders>
              <w:tl2br w:val="nil"/>
              <w:tr2bl w:val="nil"/>
            </w:tcBorders>
            <w:shd w:val="clear" w:color="auto" w:fill="FABF8F" w:themeFill="accent6" w:themeFillTint="99"/>
            <w:vAlign w:val="center"/>
          </w:tcPr>
          <w:p w14:paraId="12B9237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2EB63DB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556C840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第一步“</w:t>
            </w:r>
            <w:r>
              <w:rPr>
                <w:rFonts w:hint="default" w:ascii="Times New Roman" w:hAnsi="Times New Roman" w:cs="Times New Roman" w:eastAsiaTheme="majorEastAsia"/>
                <w:szCs w:val="21"/>
                <w:lang w:val="en-US" w:eastAsia="zh-CN"/>
              </w:rPr>
              <w:t>定类型</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1F3B5688">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明确蛋白质类型（分泌蛋白/胞内蛋白/膜蛋白</w:t>
            </w:r>
            <w:r>
              <w:rPr>
                <w:rFonts w:hint="eastAsia" w:ascii="Times New Roman" w:hAnsi="Times New Roman" w:cs="Times New Roman" w:eastAsiaTheme="majorEastAsia"/>
                <w:szCs w:val="21"/>
                <w:lang w:val="en-US" w:eastAsia="zh-CN"/>
              </w:rPr>
              <w:t>/溶酶体的酶</w:t>
            </w:r>
            <w:r>
              <w:rPr>
                <w:rFonts w:hint="default" w:ascii="Times New Roman" w:hAnsi="Times New Roman" w:cs="Times New Roman" w:eastAsiaTheme="majorEastAsia"/>
                <w:szCs w:val="21"/>
                <w:lang w:val="en-US" w:eastAsia="zh-CN"/>
              </w:rPr>
              <w:t>），判断核心路径（如分泌蛋白需经内质网-高尔基体加工）。</w:t>
            </w:r>
          </w:p>
        </w:tc>
      </w:tr>
      <w:tr w14:paraId="023268D3">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4657A85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第二步“</w:t>
            </w:r>
            <w:r>
              <w:rPr>
                <w:rFonts w:hint="default" w:ascii="Times New Roman" w:hAnsi="Times New Roman" w:cs="Times New Roman" w:eastAsiaTheme="majorEastAsia"/>
                <w:szCs w:val="21"/>
                <w:lang w:val="en-US" w:eastAsia="zh-CN"/>
              </w:rPr>
              <w:t>列结构</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2E599D34">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根据蛋白质类型，罗列直接参与结构（如分泌蛋白涉及核糖体、内质网、高尔基体等）和间接参与结构（线粒体供能）。</w:t>
            </w:r>
          </w:p>
        </w:tc>
      </w:tr>
      <w:tr w14:paraId="42BACCF7">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12FA80E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第三步“</w:t>
            </w:r>
            <w:r>
              <w:rPr>
                <w:rFonts w:hint="default" w:ascii="Times New Roman" w:hAnsi="Times New Roman" w:cs="Times New Roman" w:eastAsiaTheme="majorEastAsia"/>
                <w:szCs w:val="21"/>
                <w:lang w:val="en-US" w:eastAsia="zh-CN"/>
              </w:rPr>
              <w:t>述流程</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3F4877D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用箭头或连贯语句描述协作过程，突出“合成→加工→运输→分泌”的顺序，注明能量来源。</w:t>
            </w:r>
          </w:p>
        </w:tc>
      </w:tr>
      <w:tr w14:paraId="019B04E3">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5CCE09C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第四步“</w:t>
            </w:r>
            <w:r>
              <w:rPr>
                <w:rFonts w:hint="default" w:ascii="Times New Roman" w:hAnsi="Times New Roman" w:cs="Times New Roman" w:eastAsiaTheme="majorEastAsia"/>
                <w:szCs w:val="21"/>
                <w:lang w:val="en-US" w:eastAsia="zh-CN"/>
              </w:rPr>
              <w:t>点核心</w:t>
            </w:r>
            <w:r>
              <w:rPr>
                <w:rFonts w:hint="eastAsia" w:ascii="Times New Roman" w:hAnsi="Times New Roman" w:cs="Times New Roman" w:eastAsiaTheme="majorEastAsia"/>
                <w:szCs w:val="21"/>
                <w:vertAlign w:val="baseline"/>
                <w:lang w:val="en-US" w:eastAsia="zh-CN"/>
              </w:rPr>
              <w:t>”</w:t>
            </w:r>
          </w:p>
        </w:tc>
        <w:tc>
          <w:tcPr>
            <w:tcW w:w="7360" w:type="dxa"/>
            <w:tcBorders>
              <w:tl2br w:val="nil"/>
              <w:tr2bl w:val="nil"/>
            </w:tcBorders>
            <w:vAlign w:val="center"/>
          </w:tcPr>
          <w:p w14:paraId="5F9CC51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总结体现的生物学观点——“细胞结构的分工与协作是生命活动高效进行的保障”“生物膜系统具有统一性”。</w:t>
            </w:r>
          </w:p>
        </w:tc>
      </w:tr>
    </w:tbl>
    <w:p w14:paraId="73BA0709">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5588367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2" name="图片 2"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51DD1D4F">
      <w:pPr>
        <w:shd w:val="clear" w:color="auto" w:fill="auto"/>
        <w:spacing w:line="360" w:lineRule="auto"/>
        <w:jc w:val="left"/>
        <w:textAlignment w:val="center"/>
        <w:rPr>
          <w:rFonts w:hint="eastAsia" w:ascii="宋体" w:hAnsi="宋体" w:eastAsia="宋体" w:cs="宋体"/>
          <w:sz w:val="21"/>
          <w:szCs w:val="21"/>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eastAsia" w:ascii="宋体" w:hAnsi="宋体" w:eastAsia="宋体" w:cs="宋体"/>
          <w:sz w:val="21"/>
          <w:szCs w:val="21"/>
          <w:lang w:val="en-US" w:eastAsia="zh-CN"/>
        </w:rPr>
        <w:t>1</w:t>
      </w:r>
      <w:r>
        <w:rPr>
          <w:rFonts w:hint="eastAsia" w:ascii="宋体" w:hAnsi="宋体" w:eastAsia="宋体" w:cs="宋体"/>
          <w:sz w:val="21"/>
          <w:szCs w:val="21"/>
        </w:rPr>
        <w:t>．</w:t>
      </w:r>
      <w:r>
        <w:rPr>
          <w:rFonts w:hint="eastAsia" w:ascii="Times New Roman" w:hAnsi="Times New Roman" w:eastAsia="宋体" w:cs="Times New Roman"/>
          <w:b/>
          <w:bCs/>
          <w:color w:val="953735" w:themeColor="accent2" w:themeShade="BF"/>
          <w:lang w:val="en-US" w:eastAsia="zh-CN"/>
        </w:rPr>
        <w:t>（2025·广西·高考真题）</w:t>
      </w:r>
      <w:r>
        <w:rPr>
          <w:rFonts w:hint="eastAsia" w:ascii="宋体" w:hAnsi="宋体" w:eastAsia="宋体" w:cs="宋体"/>
          <w:sz w:val="21"/>
          <w:szCs w:val="21"/>
        </w:rPr>
        <w:t>在合成、加工及运输促性腺激素的过程中，需要垂体细胞内各种结构的协调配合。下列有关该过程的说法错误的是（　　）</w:t>
      </w:r>
    </w:p>
    <w:p w14:paraId="01F515F9">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A．合成场所位于核糖体</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B．加工需要高尔基体</w:t>
      </w:r>
    </w:p>
    <w:p w14:paraId="2DCB264C">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C．运输依赖于细胞骨架</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D．不需要线粒体参与</w:t>
      </w:r>
    </w:p>
    <w:p w14:paraId="3A64571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65262D4B">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1．真核生物细胞内错误折叠的蛋白质或损伤的细胞器会以吞噬泡的方式被包裹，并与溶酶体融合使其降解。下列叙述正确的是(　　)</w:t>
      </w:r>
    </w:p>
    <w:p w14:paraId="15825BED">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A.吞噬泡是由囊泡形成的一种单层膜细胞器</w:t>
      </w:r>
    </w:p>
    <w:p w14:paraId="7BB3128F">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B.错误折叠的蛋白质会进入高尔基体进一步加工</w:t>
      </w:r>
    </w:p>
    <w:p w14:paraId="2B2DA24D">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C.溶酶体合成的多种水解酶能分解损伤的细胞器</w:t>
      </w:r>
    </w:p>
    <w:p w14:paraId="32DCD012">
      <w:pPr>
        <w:pStyle w:val="4"/>
        <w:tabs>
          <w:tab w:val="left" w:pos="3969"/>
        </w:tabs>
        <w:spacing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D.吞噬泡与溶酶体融合的过程体现了生物膜的流动性</w:t>
      </w:r>
    </w:p>
    <w:p w14:paraId="421AFD54">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2．高尔基体是有“极性”的，构成高尔基体的膜囊有顺面、中间和反面三部分。顺面接受来自内质网的物质并转入中间膜囊进一步修饰加工，反面参与溶酶体酶(具有M6P标记)等蛋白质的分类和包装。图示是发生在高尔基体反面的3条分选途径。下列说法错误的是(　　)</w:t>
      </w:r>
    </w:p>
    <w:p w14:paraId="6A76C0A1">
      <w:pPr>
        <w:pStyle w:val="4"/>
        <w:tabs>
          <w:tab w:val="left" w:pos="3828"/>
        </w:tabs>
        <w:snapToGrid w:val="0"/>
        <w:spacing w:line="360" w:lineRule="auto"/>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2706370" cy="1754505"/>
            <wp:effectExtent l="0" t="0" r="11430" b="1079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9"/>
                    <a:stretch>
                      <a:fillRect/>
                    </a:stretch>
                  </pic:blipFill>
                  <pic:spPr>
                    <a:xfrm>
                      <a:off x="0" y="0"/>
                      <a:ext cx="2706370" cy="1754505"/>
                    </a:xfrm>
                    <a:prstGeom prst="rect">
                      <a:avLst/>
                    </a:prstGeom>
                    <a:noFill/>
                    <a:ln>
                      <a:noFill/>
                    </a:ln>
                  </pic:spPr>
                </pic:pic>
              </a:graphicData>
            </a:graphic>
          </wp:inline>
        </w:drawing>
      </w:r>
    </w:p>
    <w:p w14:paraId="171E5991">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A．组成型分泌可能有利于物质的跨膜运输</w:t>
      </w:r>
    </w:p>
    <w:p w14:paraId="0C5B9ADB">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B．可调节性分泌离不开细胞间的信息交流</w:t>
      </w:r>
    </w:p>
    <w:p w14:paraId="4D2A59F6">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C．M6P受体数量减少会抑制衰老细胞器的分解</w:t>
      </w:r>
    </w:p>
    <w:p w14:paraId="680E53B8">
      <w:pPr>
        <w:pStyle w:val="4"/>
        <w:tabs>
          <w:tab w:val="left" w:pos="3828"/>
        </w:tabs>
        <w:snapToGrid w:val="0"/>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D．顺面接受来自内质网的物质时需要膜上大量转运蛋白的参与</w:t>
      </w:r>
    </w:p>
    <w:p w14:paraId="5E72AF32">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bCs/>
          <w:color w:val="FF0000"/>
          <w:lang w:val="en-US" w:eastAsia="zh-CN"/>
        </w:rPr>
      </w:pPr>
    </w:p>
    <w:p w14:paraId="53DE1035">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16" name="图片 1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0</w:t>
      </w:r>
      <w:r>
        <w:rPr>
          <w:rFonts w:hint="eastAsia" w:ascii="Times New Roman" w:hAnsi="Times New Roman" w:eastAsia="微软雅黑" w:cs="Times New Roman"/>
          <w:b/>
          <w:color w:val="984807" w:themeColor="accent6" w:themeShade="80"/>
          <w:sz w:val="24"/>
          <w:lang w:val="en-US" w:eastAsia="zh-CN"/>
        </w:rPr>
        <w:t>3</w:t>
      </w:r>
      <w:r>
        <w:rPr>
          <w:rFonts w:hint="default" w:ascii="Times New Roman" w:hAnsi="Times New Roman" w:eastAsia="微软雅黑" w:cs="Times New Roman"/>
          <w:b/>
          <w:color w:val="984807" w:themeColor="accent6" w:themeShade="80"/>
          <w:sz w:val="24"/>
        </w:rPr>
        <w:t xml:space="preserve"> </w:t>
      </w:r>
      <w:r>
        <w:rPr>
          <w:rFonts w:hint="default" w:ascii="Times New Roman" w:hAnsi="Times New Roman" w:eastAsia="微软雅黑" w:cs="Times New Roman"/>
          <w:b/>
          <w:color w:val="984807" w:themeColor="accent6" w:themeShade="80"/>
          <w:sz w:val="24"/>
          <w:lang w:val="en-US" w:eastAsia="zh-CN"/>
        </w:rPr>
        <w:t>提取信息巧判跨膜运输方式</w:t>
      </w:r>
    </w:p>
    <w:p w14:paraId="43C4314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17" name="图片 1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889E7B7">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 解题技巧</w:t>
      </w:r>
    </w:p>
    <w:tbl>
      <w:tblPr>
        <w:tblStyle w:val="10"/>
        <w:tblW w:w="0" w:type="auto"/>
        <w:tblInd w:w="28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350"/>
        <w:gridCol w:w="7220"/>
      </w:tblGrid>
      <w:tr w14:paraId="07F13F0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shd w:val="clear" w:color="auto" w:fill="FABF8F" w:themeFill="accent6" w:themeFillTint="99"/>
            <w:vAlign w:val="center"/>
          </w:tcPr>
          <w:p w14:paraId="10BE712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方法</w:t>
            </w:r>
          </w:p>
        </w:tc>
        <w:tc>
          <w:tcPr>
            <w:tcW w:w="7220" w:type="dxa"/>
            <w:tcBorders>
              <w:tl2br w:val="nil"/>
              <w:tr2bl w:val="nil"/>
            </w:tcBorders>
            <w:shd w:val="clear" w:color="auto" w:fill="FABF8F" w:themeFill="accent6" w:themeFillTint="99"/>
            <w:vAlign w:val="center"/>
          </w:tcPr>
          <w:p w14:paraId="7602EA9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0399034D">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6F3C890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三要素提取法</w:t>
            </w:r>
          </w:p>
        </w:tc>
        <w:tc>
          <w:tcPr>
            <w:tcW w:w="7220" w:type="dxa"/>
            <w:tcBorders>
              <w:tl2br w:val="nil"/>
              <w:tr2bl w:val="nil"/>
            </w:tcBorders>
            <w:vAlign w:val="center"/>
          </w:tcPr>
          <w:p w14:paraId="7ED1D87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精准锁定判断跨膜运输方式的三个核心要素——浓度梯度（顺/逆）、能量（ATP，需/不需）、</w:t>
            </w:r>
            <w:r>
              <w:rPr>
                <w:rFonts w:hint="eastAsia" w:ascii="Times New Roman" w:hAnsi="Times New Roman" w:cs="Times New Roman" w:eastAsiaTheme="majorEastAsia"/>
                <w:szCs w:val="21"/>
                <w:lang w:val="en-US" w:eastAsia="zh-CN"/>
              </w:rPr>
              <w:t>转运蛋白或</w:t>
            </w:r>
            <w:r>
              <w:rPr>
                <w:rFonts w:hint="default" w:ascii="Times New Roman" w:hAnsi="Times New Roman" w:cs="Times New Roman" w:eastAsiaTheme="majorEastAsia"/>
                <w:szCs w:val="21"/>
                <w:lang w:val="en-US" w:eastAsia="zh-CN"/>
              </w:rPr>
              <w:t>载体蛋白（需/不需），这是判断的根本依据。</w:t>
            </w:r>
          </w:p>
        </w:tc>
      </w:tr>
      <w:tr w14:paraId="6B76B122">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574C148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模型匹配法</w:t>
            </w:r>
          </w:p>
        </w:tc>
        <w:tc>
          <w:tcPr>
            <w:tcW w:w="7220" w:type="dxa"/>
            <w:tcBorders>
              <w:tl2br w:val="nil"/>
              <w:tr2bl w:val="nil"/>
            </w:tcBorders>
            <w:vAlign w:val="center"/>
          </w:tcPr>
          <w:p w14:paraId="78216DBC">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将题干信息转化为“文字模型”“曲线模型”“示意图模型”，对照典型模型特征快速匹配运输方式（如“速率与浓度差成正比”对应自由扩散）。</w:t>
            </w:r>
          </w:p>
        </w:tc>
      </w:tr>
      <w:tr w14:paraId="336D3155">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65B008C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特例标注法</w:t>
            </w:r>
          </w:p>
        </w:tc>
        <w:tc>
          <w:tcPr>
            <w:tcW w:w="7220" w:type="dxa"/>
            <w:tcBorders>
              <w:tl2br w:val="nil"/>
              <w:tr2bl w:val="nil"/>
            </w:tcBorders>
            <w:vAlign w:val="center"/>
          </w:tcPr>
          <w:p w14:paraId="7B6D1B65">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牢记特殊物质的运输方式（如葡萄糖进入红细胞为协助扩散，进入小肠上皮细胞为主动运输），避免“一刀切”判断。</w:t>
            </w:r>
          </w:p>
        </w:tc>
      </w:tr>
    </w:tbl>
    <w:p w14:paraId="0A73210A">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341C274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 解题方法与思维框架</w:t>
      </w:r>
    </w:p>
    <w:p w14:paraId="2CC2C680">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以“三要素”为核心构建阶梯式判断框架，先区分“穿膜运输”与“非穿膜运输”，再细分穿膜运输类型：</w:t>
      </w:r>
    </w:p>
    <w:p w14:paraId="40B68AB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（1）第一步：判断是否为跨膜运输（穿膜vs非穿膜）</w:t>
      </w:r>
    </w:p>
    <w:tbl>
      <w:tblPr>
        <w:tblStyle w:val="9"/>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3890"/>
        <w:gridCol w:w="2420"/>
        <w:gridCol w:w="3290"/>
      </w:tblGrid>
      <w:tr w14:paraId="1B7A303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ABF8F" w:themeFill="accent6" w:themeFillTint="99"/>
            <w:tcMar>
              <w:top w:w="60" w:type="dxa"/>
              <w:left w:w="120" w:type="dxa"/>
              <w:bottom w:w="30" w:type="dxa"/>
              <w:right w:w="120" w:type="dxa"/>
            </w:tcMar>
            <w:vAlign w:val="center"/>
          </w:tcPr>
          <w:p w14:paraId="4C45404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判断依据</w:t>
            </w:r>
          </w:p>
        </w:tc>
        <w:tc>
          <w:tcPr>
            <w:tcW w:w="2420" w:type="dxa"/>
            <w:tcBorders>
              <w:tl2br w:val="nil"/>
              <w:tr2bl w:val="nil"/>
            </w:tcBorders>
            <w:shd w:val="clear" w:color="auto" w:fill="FABF8F" w:themeFill="accent6" w:themeFillTint="99"/>
            <w:tcMar>
              <w:top w:w="60" w:type="dxa"/>
              <w:left w:w="120" w:type="dxa"/>
              <w:bottom w:w="30" w:type="dxa"/>
              <w:right w:w="120" w:type="dxa"/>
            </w:tcMar>
            <w:vAlign w:val="center"/>
          </w:tcPr>
          <w:p w14:paraId="1A1FB2D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运输类型</w:t>
            </w:r>
          </w:p>
        </w:tc>
        <w:tc>
          <w:tcPr>
            <w:tcW w:w="3290" w:type="dxa"/>
            <w:tcBorders>
              <w:tl2br w:val="nil"/>
              <w:tr2bl w:val="nil"/>
            </w:tcBorders>
            <w:shd w:val="clear" w:color="auto" w:fill="FABF8F" w:themeFill="accent6" w:themeFillTint="99"/>
            <w:tcMar>
              <w:top w:w="60" w:type="dxa"/>
              <w:left w:w="120" w:type="dxa"/>
              <w:bottom w:w="30" w:type="dxa"/>
              <w:right w:w="120" w:type="dxa"/>
            </w:tcMar>
            <w:vAlign w:val="center"/>
          </w:tcPr>
          <w:p w14:paraId="14C8D8F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典型例子</w:t>
            </w:r>
          </w:p>
        </w:tc>
      </w:tr>
      <w:tr w14:paraId="5150B3B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FFFFF"/>
            <w:tcMar>
              <w:top w:w="60" w:type="dxa"/>
              <w:left w:w="120" w:type="dxa"/>
              <w:bottom w:w="30" w:type="dxa"/>
              <w:right w:w="120" w:type="dxa"/>
            </w:tcMar>
            <w:vAlign w:val="center"/>
          </w:tcPr>
          <w:p w14:paraId="4C07BBC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物质为大分子（如蛋白质、多糖）或颗粒状物质；过程中出现“囊泡”“膜融合”</w:t>
            </w:r>
          </w:p>
        </w:tc>
        <w:tc>
          <w:tcPr>
            <w:tcW w:w="2420" w:type="dxa"/>
            <w:tcBorders>
              <w:tl2br w:val="nil"/>
              <w:tr2bl w:val="nil"/>
            </w:tcBorders>
            <w:shd w:val="clear" w:color="auto" w:fill="FFFFFF"/>
            <w:tcMar>
              <w:top w:w="60" w:type="dxa"/>
              <w:left w:w="120" w:type="dxa"/>
              <w:bottom w:w="30" w:type="dxa"/>
              <w:right w:w="120" w:type="dxa"/>
            </w:tcMar>
            <w:vAlign w:val="center"/>
          </w:tcPr>
          <w:p w14:paraId="44CD1FF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非穿膜运输（胞吞/胞吐）</w:t>
            </w:r>
          </w:p>
        </w:tc>
        <w:tc>
          <w:tcPr>
            <w:tcW w:w="3290" w:type="dxa"/>
            <w:tcBorders>
              <w:tl2br w:val="nil"/>
              <w:tr2bl w:val="nil"/>
            </w:tcBorders>
            <w:shd w:val="clear" w:color="auto" w:fill="FFFFFF"/>
            <w:tcMar>
              <w:top w:w="60" w:type="dxa"/>
              <w:left w:w="120" w:type="dxa"/>
              <w:bottom w:w="30" w:type="dxa"/>
              <w:right w:w="120" w:type="dxa"/>
            </w:tcMar>
            <w:vAlign w:val="center"/>
          </w:tcPr>
          <w:p w14:paraId="6F6B1D7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抗体分泌、神经递质释放（胞吐）；吞噬细胞吞噬细菌（胞吞）</w:t>
            </w:r>
          </w:p>
        </w:tc>
      </w:tr>
      <w:tr w14:paraId="08C1715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FFFFF"/>
            <w:tcMar>
              <w:top w:w="60" w:type="dxa"/>
              <w:left w:w="120" w:type="dxa"/>
              <w:bottom w:w="30" w:type="dxa"/>
              <w:right w:w="120" w:type="dxa"/>
            </w:tcMar>
            <w:vAlign w:val="center"/>
          </w:tcPr>
          <w:p w14:paraId="526D100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物质为小分子（如O₂、CO₂、葡萄糖）或离子（如Na⁺、K⁺）；直接穿过生物膜</w:t>
            </w:r>
          </w:p>
        </w:tc>
        <w:tc>
          <w:tcPr>
            <w:tcW w:w="2420" w:type="dxa"/>
            <w:tcBorders>
              <w:tl2br w:val="nil"/>
              <w:tr2bl w:val="nil"/>
            </w:tcBorders>
            <w:shd w:val="clear" w:color="auto" w:fill="FFFFFF"/>
            <w:tcMar>
              <w:top w:w="60" w:type="dxa"/>
              <w:left w:w="120" w:type="dxa"/>
              <w:bottom w:w="30" w:type="dxa"/>
              <w:right w:w="120" w:type="dxa"/>
            </w:tcMar>
            <w:vAlign w:val="center"/>
          </w:tcPr>
          <w:p w14:paraId="14E176AC">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穿膜运输（自由扩散/协助扩散/主动运输）</w:t>
            </w:r>
          </w:p>
        </w:tc>
        <w:tc>
          <w:tcPr>
            <w:tcW w:w="3290" w:type="dxa"/>
            <w:tcBorders>
              <w:tl2br w:val="nil"/>
              <w:tr2bl w:val="nil"/>
            </w:tcBorders>
            <w:shd w:val="clear" w:color="auto" w:fill="FFFFFF"/>
            <w:tcMar>
              <w:top w:w="60" w:type="dxa"/>
              <w:left w:w="120" w:type="dxa"/>
              <w:bottom w:w="30" w:type="dxa"/>
              <w:right w:w="120" w:type="dxa"/>
            </w:tcMar>
            <w:vAlign w:val="center"/>
          </w:tcPr>
          <w:p w14:paraId="4BFDC18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O₂进入细胞、葡萄糖进入红细胞、小肠上皮细胞吸收葡萄糖</w:t>
            </w:r>
          </w:p>
        </w:tc>
      </w:tr>
    </w:tbl>
    <w:p w14:paraId="0967828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（2）细分穿膜运输类型（三要素判断法）</w:t>
      </w:r>
    </w:p>
    <w:tbl>
      <w:tblPr>
        <w:tblStyle w:val="9"/>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1280"/>
        <w:gridCol w:w="1440"/>
        <w:gridCol w:w="1840"/>
        <w:gridCol w:w="1340"/>
        <w:gridCol w:w="3710"/>
      </w:tblGrid>
      <w:tr w14:paraId="1E8C161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ABF8F" w:themeFill="accent6" w:themeFillTint="99"/>
            <w:tcMar>
              <w:top w:w="60" w:type="dxa"/>
              <w:left w:w="120" w:type="dxa"/>
              <w:bottom w:w="30" w:type="dxa"/>
              <w:right w:w="120" w:type="dxa"/>
            </w:tcMar>
            <w:vAlign w:val="center"/>
          </w:tcPr>
          <w:p w14:paraId="2C4C45C5">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运输方式</w:t>
            </w:r>
          </w:p>
        </w:tc>
        <w:tc>
          <w:tcPr>
            <w:tcW w:w="1440" w:type="dxa"/>
            <w:tcBorders>
              <w:tl2br w:val="nil"/>
              <w:tr2bl w:val="nil"/>
            </w:tcBorders>
            <w:shd w:val="clear" w:color="auto" w:fill="FABF8F" w:themeFill="accent6" w:themeFillTint="99"/>
            <w:tcMar>
              <w:top w:w="60" w:type="dxa"/>
              <w:left w:w="120" w:type="dxa"/>
              <w:bottom w:w="30" w:type="dxa"/>
              <w:right w:w="120" w:type="dxa"/>
            </w:tcMar>
            <w:vAlign w:val="center"/>
          </w:tcPr>
          <w:p w14:paraId="0BB71A85">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浓度梯度</w:t>
            </w:r>
          </w:p>
        </w:tc>
        <w:tc>
          <w:tcPr>
            <w:tcW w:w="1840" w:type="dxa"/>
            <w:tcBorders>
              <w:tl2br w:val="nil"/>
              <w:tr2bl w:val="nil"/>
            </w:tcBorders>
            <w:shd w:val="clear" w:color="auto" w:fill="FABF8F" w:themeFill="accent6" w:themeFillTint="99"/>
            <w:tcMar>
              <w:top w:w="60" w:type="dxa"/>
              <w:left w:w="120" w:type="dxa"/>
              <w:bottom w:w="30" w:type="dxa"/>
              <w:right w:w="120" w:type="dxa"/>
            </w:tcMar>
            <w:vAlign w:val="center"/>
          </w:tcPr>
          <w:p w14:paraId="632F49F0">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lang w:val="en-US" w:eastAsia="zh-CN"/>
              </w:rPr>
              <w:t>转运(</w:t>
            </w:r>
            <w:r>
              <w:rPr>
                <w:rFonts w:hint="default" w:ascii="Times New Roman" w:hAnsi="Times New Roman" w:cs="Times New Roman" w:eastAsiaTheme="minorEastAsia"/>
                <w:b/>
                <w:bCs/>
                <w:color w:val="000000"/>
                <w:sz w:val="22"/>
              </w:rPr>
              <w:t>载体</w:t>
            </w:r>
            <w:r>
              <w:rPr>
                <w:rFonts w:hint="default" w:ascii="Times New Roman" w:hAnsi="Times New Roman" w:cs="Times New Roman" w:eastAsiaTheme="minorEastAsia"/>
                <w:b/>
                <w:bCs/>
                <w:color w:val="000000"/>
                <w:sz w:val="22"/>
                <w:lang w:val="en-US" w:eastAsia="zh-CN"/>
              </w:rPr>
              <w:t>)</w:t>
            </w:r>
            <w:r>
              <w:rPr>
                <w:rFonts w:hint="default" w:ascii="Times New Roman" w:hAnsi="Times New Roman" w:cs="Times New Roman" w:eastAsiaTheme="minorEastAsia"/>
                <w:b/>
                <w:bCs/>
                <w:color w:val="000000"/>
                <w:sz w:val="22"/>
              </w:rPr>
              <w:t>蛋白</w:t>
            </w:r>
          </w:p>
        </w:tc>
        <w:tc>
          <w:tcPr>
            <w:tcW w:w="1340" w:type="dxa"/>
            <w:tcBorders>
              <w:tl2br w:val="nil"/>
              <w:tr2bl w:val="nil"/>
            </w:tcBorders>
            <w:shd w:val="clear" w:color="auto" w:fill="FABF8F" w:themeFill="accent6" w:themeFillTint="99"/>
            <w:tcMar>
              <w:top w:w="60" w:type="dxa"/>
              <w:left w:w="120" w:type="dxa"/>
              <w:bottom w:w="30" w:type="dxa"/>
              <w:right w:w="120" w:type="dxa"/>
            </w:tcMar>
            <w:vAlign w:val="center"/>
          </w:tcPr>
          <w:p w14:paraId="04E3C305">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能量（ATP）</w:t>
            </w:r>
          </w:p>
        </w:tc>
        <w:tc>
          <w:tcPr>
            <w:tcW w:w="3710" w:type="dxa"/>
            <w:tcBorders>
              <w:tl2br w:val="nil"/>
              <w:tr2bl w:val="nil"/>
            </w:tcBorders>
            <w:shd w:val="clear" w:color="auto" w:fill="FABF8F" w:themeFill="accent6" w:themeFillTint="99"/>
            <w:tcMar>
              <w:top w:w="60" w:type="dxa"/>
              <w:left w:w="120" w:type="dxa"/>
              <w:bottom w:w="30" w:type="dxa"/>
              <w:right w:w="120" w:type="dxa"/>
            </w:tcMar>
            <w:vAlign w:val="center"/>
          </w:tcPr>
          <w:p w14:paraId="59B2AE6C">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典型例子</w:t>
            </w:r>
          </w:p>
        </w:tc>
      </w:tr>
      <w:tr w14:paraId="54B9E36C">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7DC12D5C">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自由扩散</w:t>
            </w:r>
          </w:p>
        </w:tc>
        <w:tc>
          <w:tcPr>
            <w:tcW w:w="1440" w:type="dxa"/>
            <w:tcBorders>
              <w:tl2br w:val="nil"/>
              <w:tr2bl w:val="nil"/>
            </w:tcBorders>
            <w:shd w:val="clear" w:color="auto" w:fill="FFFFFF"/>
            <w:tcMar>
              <w:top w:w="60" w:type="dxa"/>
              <w:left w:w="120" w:type="dxa"/>
              <w:bottom w:w="30" w:type="dxa"/>
              <w:right w:w="120" w:type="dxa"/>
            </w:tcMar>
            <w:vAlign w:val="center"/>
          </w:tcPr>
          <w:p w14:paraId="2F1C9470">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顺浓度梯度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150ECFDF">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1340" w:type="dxa"/>
            <w:tcBorders>
              <w:tl2br w:val="nil"/>
              <w:tr2bl w:val="nil"/>
            </w:tcBorders>
            <w:shd w:val="clear" w:color="auto" w:fill="FFFFFF"/>
            <w:tcMar>
              <w:top w:w="60" w:type="dxa"/>
              <w:left w:w="120" w:type="dxa"/>
              <w:bottom w:w="30" w:type="dxa"/>
              <w:right w:w="120" w:type="dxa"/>
            </w:tcMar>
            <w:vAlign w:val="center"/>
          </w:tcPr>
          <w:p w14:paraId="30D08016">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3710" w:type="dxa"/>
            <w:tcBorders>
              <w:tl2br w:val="nil"/>
              <w:tr2bl w:val="nil"/>
            </w:tcBorders>
            <w:shd w:val="clear" w:color="auto" w:fill="FFFFFF"/>
            <w:tcMar>
              <w:top w:w="60" w:type="dxa"/>
              <w:left w:w="120" w:type="dxa"/>
              <w:bottom w:w="30" w:type="dxa"/>
              <w:right w:w="120" w:type="dxa"/>
            </w:tcMar>
            <w:vAlign w:val="center"/>
          </w:tcPr>
          <w:p w14:paraId="31C2ED8F">
            <w:pPr>
              <w:spacing w:before="120" w:after="120" w:line="288" w:lineRule="auto"/>
              <w:ind w:left="0"/>
              <w:jc w:val="both"/>
              <w:rPr>
                <w:rFonts w:hint="default" w:ascii="Times New Roman" w:hAnsi="Times New Roman" w:cs="Times New Roman" w:eastAsiaTheme="minorEastAsia"/>
                <w:b w:val="0"/>
                <w:color w:val="000000"/>
                <w:lang w:val="en-US" w:eastAsia="zh-CN"/>
              </w:rPr>
            </w:pPr>
            <w:r>
              <w:rPr>
                <w:rFonts w:hint="default" w:ascii="Times New Roman" w:hAnsi="Times New Roman" w:cs="Times New Roman" w:eastAsiaTheme="minorEastAsia"/>
                <w:b w:val="0"/>
                <w:color w:val="000000"/>
                <w:sz w:val="22"/>
                <w:lang w:val="en-US" w:eastAsia="zh-CN"/>
              </w:rPr>
              <w:t>气体（</w:t>
            </w:r>
            <w:r>
              <w:rPr>
                <w:rFonts w:hint="default" w:ascii="Times New Roman" w:hAnsi="Times New Roman" w:cs="Times New Roman" w:eastAsiaTheme="minorEastAsia"/>
                <w:b w:val="0"/>
                <w:color w:val="000000"/>
                <w:sz w:val="22"/>
              </w:rPr>
              <w:t>O₂、CO₂</w:t>
            </w:r>
            <w:r>
              <w:rPr>
                <w:rFonts w:hint="default" w:ascii="Times New Roman" w:hAnsi="Times New Roman" w:cs="Times New Roman" w:eastAsiaTheme="minorEastAsia"/>
                <w:b w:val="0"/>
                <w:color w:val="000000"/>
                <w:sz w:val="22"/>
                <w:lang w:val="en-US" w:eastAsia="zh-CN"/>
              </w:rPr>
              <w:t>）</w:t>
            </w:r>
            <w:r>
              <w:rPr>
                <w:rFonts w:hint="default" w:ascii="Times New Roman" w:hAnsi="Times New Roman" w:cs="Times New Roman" w:eastAsiaTheme="minorEastAsia"/>
                <w:b w:val="0"/>
                <w:color w:val="000000"/>
                <w:sz w:val="22"/>
              </w:rPr>
              <w:t>、H₂O（</w:t>
            </w:r>
            <w:r>
              <w:rPr>
                <w:rFonts w:hint="default" w:ascii="Times New Roman" w:hAnsi="Times New Roman" w:cs="Times New Roman" w:eastAsiaTheme="minorEastAsia"/>
                <w:b w:val="0"/>
                <w:color w:val="000000"/>
                <w:sz w:val="22"/>
                <w:lang w:val="en-US" w:eastAsia="zh-CN"/>
              </w:rPr>
              <w:t>少部分</w:t>
            </w:r>
            <w:r>
              <w:rPr>
                <w:rFonts w:hint="default" w:ascii="Times New Roman" w:hAnsi="Times New Roman" w:cs="Times New Roman" w:eastAsiaTheme="minorEastAsia"/>
                <w:b w:val="0"/>
                <w:color w:val="000000"/>
                <w:sz w:val="22"/>
              </w:rPr>
              <w:t>）、</w:t>
            </w:r>
            <w:r>
              <w:rPr>
                <w:rFonts w:hint="default" w:ascii="Times New Roman" w:hAnsi="Times New Roman" w:cs="Times New Roman" w:eastAsiaTheme="minorEastAsia"/>
                <w:b w:val="0"/>
                <w:color w:val="000000"/>
                <w:sz w:val="22"/>
                <w:lang w:val="en-US" w:eastAsia="zh-CN"/>
              </w:rPr>
              <w:t>脂溶性小分子（</w:t>
            </w:r>
            <w:r>
              <w:rPr>
                <w:rFonts w:hint="default" w:ascii="Times New Roman" w:hAnsi="Times New Roman" w:cs="Times New Roman" w:eastAsiaTheme="minorEastAsia"/>
                <w:b w:val="0"/>
                <w:color w:val="000000"/>
                <w:sz w:val="22"/>
              </w:rPr>
              <w:t>甘油、乙醇</w:t>
            </w:r>
            <w:r>
              <w:rPr>
                <w:rFonts w:hint="default" w:ascii="Times New Roman" w:hAnsi="Times New Roman" w:cs="Times New Roman" w:eastAsiaTheme="minorEastAsia"/>
                <w:b w:val="0"/>
                <w:color w:val="000000"/>
                <w:sz w:val="22"/>
                <w:lang w:eastAsia="zh-CN"/>
              </w:rPr>
              <w:t>、</w:t>
            </w:r>
            <w:r>
              <w:rPr>
                <w:rFonts w:hint="default" w:ascii="Times New Roman" w:hAnsi="Times New Roman" w:cs="Times New Roman" w:eastAsiaTheme="minorEastAsia"/>
                <w:b w:val="0"/>
                <w:color w:val="000000"/>
                <w:sz w:val="22"/>
                <w:lang w:val="en-US" w:eastAsia="zh-CN"/>
              </w:rPr>
              <w:t>苯等）</w:t>
            </w:r>
          </w:p>
        </w:tc>
      </w:tr>
      <w:tr w14:paraId="0478268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30E7D9F6">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协助扩散</w:t>
            </w:r>
          </w:p>
        </w:tc>
        <w:tc>
          <w:tcPr>
            <w:tcW w:w="1440" w:type="dxa"/>
            <w:tcBorders>
              <w:tl2br w:val="nil"/>
              <w:tr2bl w:val="nil"/>
            </w:tcBorders>
            <w:shd w:val="clear" w:color="auto" w:fill="FFFFFF"/>
            <w:tcMar>
              <w:top w:w="60" w:type="dxa"/>
              <w:left w:w="120" w:type="dxa"/>
              <w:bottom w:w="30" w:type="dxa"/>
              <w:right w:w="120" w:type="dxa"/>
            </w:tcMar>
            <w:vAlign w:val="center"/>
          </w:tcPr>
          <w:p w14:paraId="03159D24">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顺浓度梯度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33871A57">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1340" w:type="dxa"/>
            <w:tcBorders>
              <w:tl2br w:val="nil"/>
              <w:tr2bl w:val="nil"/>
            </w:tcBorders>
            <w:shd w:val="clear" w:color="auto" w:fill="FFFFFF"/>
            <w:tcMar>
              <w:top w:w="60" w:type="dxa"/>
              <w:left w:w="120" w:type="dxa"/>
              <w:bottom w:w="30" w:type="dxa"/>
              <w:right w:w="120" w:type="dxa"/>
            </w:tcMar>
            <w:vAlign w:val="center"/>
          </w:tcPr>
          <w:p w14:paraId="77C41E8F">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3710" w:type="dxa"/>
            <w:tcBorders>
              <w:tl2br w:val="nil"/>
              <w:tr2bl w:val="nil"/>
            </w:tcBorders>
            <w:shd w:val="clear" w:color="auto" w:fill="FFFFFF"/>
            <w:tcMar>
              <w:top w:w="60" w:type="dxa"/>
              <w:left w:w="120" w:type="dxa"/>
              <w:bottom w:w="30" w:type="dxa"/>
              <w:right w:w="120" w:type="dxa"/>
            </w:tcMar>
            <w:vAlign w:val="center"/>
          </w:tcPr>
          <w:p w14:paraId="3E20F351">
            <w:pPr>
              <w:spacing w:before="120" w:after="120" w:line="288" w:lineRule="auto"/>
              <w:ind w:left="0"/>
              <w:jc w:val="both"/>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H₂O（</w:t>
            </w:r>
            <w:r>
              <w:rPr>
                <w:rFonts w:hint="default" w:ascii="Times New Roman" w:hAnsi="Times New Roman" w:cs="Times New Roman" w:eastAsiaTheme="minorEastAsia"/>
                <w:b w:val="0"/>
                <w:color w:val="000000"/>
                <w:sz w:val="22"/>
                <w:lang w:val="en-US" w:eastAsia="zh-CN"/>
              </w:rPr>
              <w:t>大部分</w:t>
            </w:r>
            <w:r>
              <w:rPr>
                <w:rFonts w:hint="default" w:ascii="Times New Roman" w:hAnsi="Times New Roman" w:cs="Times New Roman" w:eastAsiaTheme="minorEastAsia"/>
                <w:b w:val="0"/>
                <w:color w:val="000000"/>
                <w:sz w:val="22"/>
              </w:rPr>
              <w:t>）</w:t>
            </w:r>
            <w:r>
              <w:rPr>
                <w:rFonts w:hint="default" w:ascii="Times New Roman" w:hAnsi="Times New Roman" w:cs="Times New Roman" w:eastAsiaTheme="minorEastAsia"/>
                <w:b w:val="0"/>
                <w:color w:val="000000"/>
                <w:sz w:val="22"/>
                <w:lang w:eastAsia="zh-CN"/>
              </w:rPr>
              <w:t>、</w:t>
            </w:r>
            <w:r>
              <w:rPr>
                <w:rFonts w:hint="default" w:ascii="Times New Roman" w:hAnsi="Times New Roman" w:cs="Times New Roman" w:eastAsiaTheme="minorEastAsia"/>
                <w:b w:val="0"/>
                <w:color w:val="000000"/>
                <w:sz w:val="22"/>
              </w:rPr>
              <w:t>葡萄糖进入红细胞、Na⁺通过离子通道进入神经细胞</w:t>
            </w:r>
          </w:p>
        </w:tc>
      </w:tr>
      <w:tr w14:paraId="31E6128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33B95C09">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主动运输</w:t>
            </w:r>
          </w:p>
        </w:tc>
        <w:tc>
          <w:tcPr>
            <w:tcW w:w="1440" w:type="dxa"/>
            <w:tcBorders>
              <w:tl2br w:val="nil"/>
              <w:tr2bl w:val="nil"/>
            </w:tcBorders>
            <w:shd w:val="clear" w:color="auto" w:fill="FFFFFF"/>
            <w:tcMar>
              <w:top w:w="60" w:type="dxa"/>
              <w:left w:w="120" w:type="dxa"/>
              <w:bottom w:w="30" w:type="dxa"/>
              <w:right w:w="120" w:type="dxa"/>
            </w:tcMar>
            <w:vAlign w:val="center"/>
          </w:tcPr>
          <w:p w14:paraId="7B5FE90A">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逆浓度梯度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26BE9D24">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1340" w:type="dxa"/>
            <w:tcBorders>
              <w:tl2br w:val="nil"/>
              <w:tr2bl w:val="nil"/>
            </w:tcBorders>
            <w:shd w:val="clear" w:color="auto" w:fill="FFFFFF"/>
            <w:tcMar>
              <w:top w:w="60" w:type="dxa"/>
              <w:left w:w="120" w:type="dxa"/>
              <w:bottom w:w="30" w:type="dxa"/>
              <w:right w:w="120" w:type="dxa"/>
            </w:tcMar>
            <w:vAlign w:val="center"/>
          </w:tcPr>
          <w:p w14:paraId="20C15D37">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3710" w:type="dxa"/>
            <w:tcBorders>
              <w:tl2br w:val="nil"/>
              <w:tr2bl w:val="nil"/>
            </w:tcBorders>
            <w:shd w:val="clear" w:color="auto" w:fill="FFFFFF"/>
            <w:tcMar>
              <w:top w:w="60" w:type="dxa"/>
              <w:left w:w="120" w:type="dxa"/>
              <w:bottom w:w="30" w:type="dxa"/>
              <w:right w:w="120" w:type="dxa"/>
            </w:tcMar>
            <w:vAlign w:val="center"/>
          </w:tcPr>
          <w:p w14:paraId="64619644">
            <w:pPr>
              <w:spacing w:before="120" w:after="120" w:line="288" w:lineRule="auto"/>
              <w:ind w:left="0"/>
              <w:jc w:val="both"/>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小肠上皮细胞吸收葡萄糖、K⁺进入神经细胞（钠钾泵）</w:t>
            </w:r>
          </w:p>
        </w:tc>
      </w:tr>
    </w:tbl>
    <w:p w14:paraId="5F63807F">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kern w:val="2"/>
          <w:sz w:val="21"/>
          <w:szCs w:val="21"/>
          <w:lang w:val="en-US" w:eastAsia="zh-CN" w:bidi="ar-SA"/>
        </w:rPr>
        <w:t>（</w:t>
      </w:r>
      <w:r>
        <w:rPr>
          <w:rFonts w:hint="eastAsia" w:ascii="Times New Roman" w:hAnsi="Times New Roman" w:cs="Times New Roman" w:eastAsiaTheme="majorEastAsia"/>
          <w:kern w:val="2"/>
          <w:sz w:val="21"/>
          <w:szCs w:val="21"/>
          <w:lang w:val="en-US" w:eastAsia="zh-CN" w:bidi="ar-SA"/>
        </w:rPr>
        <w:t>3</w:t>
      </w:r>
      <w:r>
        <w:rPr>
          <w:rFonts w:hint="default" w:ascii="Times New Roman" w:hAnsi="Times New Roman" w:cs="Times New Roman" w:eastAsiaTheme="majorEastAsia"/>
          <w:kern w:val="2"/>
          <w:sz w:val="21"/>
          <w:szCs w:val="21"/>
          <w:lang w:val="en-US" w:eastAsia="zh-CN" w:bidi="ar-SA"/>
        </w:rPr>
        <w:t>）</w:t>
      </w:r>
      <w:r>
        <w:rPr>
          <w:rFonts w:hint="default" w:ascii="Times New Roman" w:hAnsi="Times New Roman" w:cs="Times New Roman" w:eastAsiaTheme="majorEastAsia"/>
          <w:szCs w:val="21"/>
          <w:lang w:val="en-US" w:eastAsia="zh-CN"/>
        </w:rPr>
        <w:t>模型特征匹配（应对曲线/示意图题）</w:t>
      </w:r>
    </w:p>
    <w:tbl>
      <w:tblPr>
        <w:tblStyle w:val="10"/>
        <w:tblW w:w="0" w:type="auto"/>
        <w:tblInd w:w="27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1290"/>
        <w:gridCol w:w="1090"/>
        <w:gridCol w:w="7308"/>
      </w:tblGrid>
      <w:tr w14:paraId="5A7F332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tcBorders>
              <w:tl2br w:val="nil"/>
              <w:tr2bl w:val="nil"/>
            </w:tcBorders>
            <w:shd w:val="clear" w:color="auto" w:fill="FABF8F" w:themeFill="accent6" w:themeFillTint="99"/>
            <w:vAlign w:val="center"/>
          </w:tcPr>
          <w:p w14:paraId="491A7850">
            <w:pPr>
              <w:rPr>
                <w:rFonts w:hint="default" w:ascii="Times New Roman" w:hAnsi="Times New Roman" w:cs="Times New Roman" w:eastAsiaTheme="minorEastAsia"/>
                <w:b/>
                <w:bCs/>
                <w:vertAlign w:val="baseline"/>
                <w:lang w:val="en-US" w:eastAsia="zh-CN"/>
              </w:rPr>
            </w:pPr>
            <w:r>
              <w:rPr>
                <w:rFonts w:hint="default" w:ascii="Times New Roman" w:hAnsi="Times New Roman" w:cs="Times New Roman" w:eastAsiaTheme="majorEastAsia"/>
                <w:b/>
                <w:bCs/>
                <w:szCs w:val="21"/>
                <w:lang w:val="en-US" w:eastAsia="zh-CN"/>
              </w:rPr>
              <w:br w:type="page"/>
            </w:r>
            <w:r>
              <w:rPr>
                <w:rFonts w:hint="default" w:ascii="Times New Roman" w:hAnsi="Times New Roman" w:cs="Times New Roman" w:eastAsiaTheme="minorEastAsia"/>
                <w:b/>
                <w:bCs/>
                <w:vertAlign w:val="baseline"/>
                <w:lang w:val="en-US" w:eastAsia="zh-CN"/>
              </w:rPr>
              <w:t>类型</w:t>
            </w:r>
          </w:p>
        </w:tc>
        <w:tc>
          <w:tcPr>
            <w:tcW w:w="7308" w:type="dxa"/>
            <w:tcBorders>
              <w:tl2br w:val="nil"/>
              <w:tr2bl w:val="nil"/>
            </w:tcBorders>
            <w:shd w:val="clear" w:color="auto" w:fill="FABF8F" w:themeFill="accent6" w:themeFillTint="99"/>
            <w:vAlign w:val="center"/>
          </w:tcPr>
          <w:p w14:paraId="041BEEA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bCs/>
                <w:vertAlign w:val="baseline"/>
                <w:lang w:val="en-US" w:eastAsia="zh-CN"/>
              </w:rPr>
            </w:pPr>
            <w:r>
              <w:rPr>
                <w:rFonts w:hint="default" w:ascii="Times New Roman" w:hAnsi="Times New Roman" w:cs="Times New Roman" w:eastAsiaTheme="minorEastAsia"/>
                <w:b/>
                <w:bCs/>
                <w:vertAlign w:val="baseline"/>
                <w:lang w:val="en-US" w:eastAsia="zh-CN"/>
              </w:rPr>
              <w:t>方法</w:t>
            </w:r>
          </w:p>
        </w:tc>
      </w:tr>
      <w:tr w14:paraId="09698D35">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restart"/>
            <w:tcBorders>
              <w:tl2br w:val="nil"/>
              <w:tr2bl w:val="nil"/>
            </w:tcBorders>
            <w:vAlign w:val="center"/>
          </w:tcPr>
          <w:p w14:paraId="7787B0C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曲线模型</w:t>
            </w:r>
          </w:p>
        </w:tc>
        <w:tc>
          <w:tcPr>
            <w:tcW w:w="1090" w:type="dxa"/>
            <w:tcBorders>
              <w:tl2br w:val="nil"/>
              <w:tr2bl w:val="nil"/>
            </w:tcBorders>
            <w:vAlign w:val="center"/>
          </w:tcPr>
          <w:p w14:paraId="1375615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自由扩散</w:t>
            </w:r>
          </w:p>
        </w:tc>
        <w:tc>
          <w:tcPr>
            <w:tcW w:w="7308" w:type="dxa"/>
            <w:tcBorders>
              <w:tl2br w:val="nil"/>
              <w:tr2bl w:val="nil"/>
            </w:tcBorders>
            <w:vAlign w:val="center"/>
          </w:tcPr>
          <w:p w14:paraId="6F4959D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运输速率与浓度差呈“正相关”（直线，无饱和点）</w:t>
            </w:r>
          </w:p>
        </w:tc>
      </w:tr>
      <w:tr w14:paraId="71D92794">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continue"/>
            <w:tcBorders>
              <w:tl2br w:val="nil"/>
              <w:tr2bl w:val="nil"/>
            </w:tcBorders>
            <w:vAlign w:val="center"/>
          </w:tcPr>
          <w:p w14:paraId="598F2B0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p>
        </w:tc>
        <w:tc>
          <w:tcPr>
            <w:tcW w:w="1090" w:type="dxa"/>
            <w:tcBorders>
              <w:tl2br w:val="nil"/>
              <w:tr2bl w:val="nil"/>
            </w:tcBorders>
            <w:vAlign w:val="center"/>
          </w:tcPr>
          <w:p w14:paraId="6659A14A">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协助扩散</w:t>
            </w:r>
          </w:p>
        </w:tc>
        <w:tc>
          <w:tcPr>
            <w:tcW w:w="7308" w:type="dxa"/>
            <w:tcBorders>
              <w:tl2br w:val="nil"/>
              <w:tr2bl w:val="nil"/>
            </w:tcBorders>
            <w:vAlign w:val="center"/>
          </w:tcPr>
          <w:p w14:paraId="10A502A1">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运输速率先随浓度差增大而增大，达到一定浓度后“饱和”（曲线，饱和点由载体数量决定）</w:t>
            </w:r>
          </w:p>
        </w:tc>
      </w:tr>
      <w:tr w14:paraId="34E2862E">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continue"/>
            <w:tcBorders>
              <w:tl2br w:val="nil"/>
              <w:tr2bl w:val="nil"/>
            </w:tcBorders>
            <w:vAlign w:val="center"/>
          </w:tcPr>
          <w:p w14:paraId="1380248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p>
        </w:tc>
        <w:tc>
          <w:tcPr>
            <w:tcW w:w="1090" w:type="dxa"/>
            <w:tcBorders>
              <w:tl2br w:val="nil"/>
              <w:tr2bl w:val="nil"/>
            </w:tcBorders>
            <w:vAlign w:val="center"/>
          </w:tcPr>
          <w:p w14:paraId="4F5A4236">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主动运输</w:t>
            </w:r>
          </w:p>
        </w:tc>
        <w:tc>
          <w:tcPr>
            <w:tcW w:w="7308" w:type="dxa"/>
            <w:tcBorders>
              <w:tl2br w:val="nil"/>
              <w:tr2bl w:val="nil"/>
            </w:tcBorders>
            <w:vAlign w:val="center"/>
          </w:tcPr>
          <w:p w14:paraId="6873FB0E">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运输速率与浓度差无直接关联，受载体数量和能量供应影响（曲线可随能量增加而上升，达到载体饱和后稳定）</w:t>
            </w:r>
          </w:p>
        </w:tc>
      </w:tr>
      <w:tr w14:paraId="35448685">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restart"/>
            <w:tcBorders>
              <w:tl2br w:val="nil"/>
              <w:tr2bl w:val="nil"/>
            </w:tcBorders>
            <w:vAlign w:val="center"/>
          </w:tcPr>
          <w:p w14:paraId="4F93925E">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示意图模型</w:t>
            </w:r>
          </w:p>
        </w:tc>
        <w:tc>
          <w:tcPr>
            <w:tcW w:w="7308" w:type="dxa"/>
            <w:tcBorders>
              <w:tl2br w:val="nil"/>
              <w:tr2bl w:val="nil"/>
            </w:tcBorders>
            <w:vAlign w:val="center"/>
          </w:tcPr>
          <w:p w14:paraId="22E63836">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若图中仅显示“物质从高浓度到低浓度，无</w:t>
            </w:r>
            <w:r>
              <w:rPr>
                <w:rFonts w:hint="eastAsia" w:ascii="Times New Roman" w:hAnsi="Times New Roman" w:cs="Times New Roman"/>
                <w:szCs w:val="21"/>
                <w:lang w:val="en-US" w:eastAsia="zh-CN"/>
              </w:rPr>
              <w:t>转运蛋白</w:t>
            </w:r>
            <w:r>
              <w:rPr>
                <w:rFonts w:hint="default" w:ascii="Times New Roman" w:hAnsi="Times New Roman" w:cs="Times New Roman" w:eastAsiaTheme="minorEastAsia"/>
                <w:szCs w:val="21"/>
                <w:lang w:val="en-US" w:eastAsia="zh-CN"/>
              </w:rPr>
              <w:t>/能量”→自由扩散</w:t>
            </w:r>
          </w:p>
        </w:tc>
      </w:tr>
      <w:tr w14:paraId="487850A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continue"/>
            <w:tcBorders>
              <w:tl2br w:val="nil"/>
              <w:tr2bl w:val="nil"/>
            </w:tcBorders>
            <w:vAlign w:val="center"/>
          </w:tcPr>
          <w:p w14:paraId="7D45289B">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vertAlign w:val="baseline"/>
                <w:lang w:val="en-US" w:eastAsia="zh-CN"/>
              </w:rPr>
            </w:pPr>
          </w:p>
        </w:tc>
        <w:tc>
          <w:tcPr>
            <w:tcW w:w="7308" w:type="dxa"/>
            <w:tcBorders>
              <w:tl2br w:val="nil"/>
              <w:tr2bl w:val="nil"/>
            </w:tcBorders>
            <w:vAlign w:val="center"/>
          </w:tcPr>
          <w:p w14:paraId="6A7E9DA8">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若显示“高浓度到低浓度，有</w:t>
            </w:r>
            <w:r>
              <w:rPr>
                <w:rFonts w:hint="eastAsia" w:ascii="Times New Roman" w:hAnsi="Times New Roman" w:cs="Times New Roman"/>
                <w:szCs w:val="21"/>
                <w:lang w:val="en-US" w:eastAsia="zh-CN"/>
              </w:rPr>
              <w:t>转运蛋白</w:t>
            </w:r>
            <w:r>
              <w:rPr>
                <w:rFonts w:hint="default" w:ascii="Times New Roman" w:hAnsi="Times New Roman" w:cs="Times New Roman" w:eastAsiaTheme="minorEastAsia"/>
                <w:szCs w:val="21"/>
                <w:lang w:val="en-US" w:eastAsia="zh-CN"/>
              </w:rPr>
              <w:t>，无能量”→协助扩散</w:t>
            </w:r>
          </w:p>
        </w:tc>
      </w:tr>
      <w:tr w14:paraId="31EA7CB3">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continue"/>
            <w:tcBorders>
              <w:tl2br w:val="nil"/>
              <w:tr2bl w:val="nil"/>
            </w:tcBorders>
            <w:vAlign w:val="center"/>
          </w:tcPr>
          <w:p w14:paraId="2D8B04BE">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vertAlign w:val="baseline"/>
                <w:lang w:val="en-US" w:eastAsia="zh-CN"/>
              </w:rPr>
            </w:pPr>
          </w:p>
        </w:tc>
        <w:tc>
          <w:tcPr>
            <w:tcW w:w="7308" w:type="dxa"/>
            <w:tcBorders>
              <w:tl2br w:val="nil"/>
              <w:tr2bl w:val="nil"/>
            </w:tcBorders>
            <w:vAlign w:val="center"/>
          </w:tcPr>
          <w:p w14:paraId="12F226D4">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若显示“低浓度到高浓度，有载体，有能量（如ATP符号）”→主动运输</w:t>
            </w:r>
          </w:p>
        </w:tc>
      </w:tr>
    </w:tbl>
    <w:p w14:paraId="57B4A65F">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leftChars="0"/>
        <w:contextualSpacing/>
        <w:textAlignment w:val="center"/>
        <w:rPr>
          <w:rFonts w:hint="default" w:ascii="Times New Roman" w:hAnsi="Times New Roman" w:cs="Times New Roman" w:eastAsiaTheme="majorEastAsia"/>
          <w:szCs w:val="21"/>
          <w:lang w:val="en-US" w:eastAsia="zh-CN"/>
        </w:rPr>
      </w:pPr>
      <w:r>
        <w:rPr>
          <w:rFonts w:hint="eastAsia" w:ascii="Times New Roman" w:hAnsi="Times New Roman" w:cs="Times New Roman" w:eastAsiaTheme="majorEastAsia"/>
          <w:szCs w:val="21"/>
          <w:lang w:val="en-US" w:eastAsia="zh-CN"/>
        </w:rPr>
        <w:t>3.</w:t>
      </w:r>
      <w:r>
        <w:rPr>
          <w:rFonts w:hint="default" w:ascii="Times New Roman" w:hAnsi="Times New Roman" w:cs="Times New Roman" w:eastAsiaTheme="majorEastAsia"/>
          <w:szCs w:val="21"/>
          <w:lang w:val="en-US" w:eastAsia="zh-CN"/>
        </w:rPr>
        <w:t>答题模板</w:t>
      </w:r>
    </w:p>
    <w:tbl>
      <w:tblPr>
        <w:tblStyle w:val="10"/>
        <w:tblpPr w:leftFromText="180" w:rightFromText="180" w:vertAnchor="text" w:horzAnchor="page" w:tblpX="1353" w:tblpY="402"/>
        <w:tblOverlap w:val="never"/>
        <w:tblW w:w="0" w:type="auto"/>
        <w:tblInd w:w="0"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1610"/>
        <w:gridCol w:w="7990"/>
      </w:tblGrid>
      <w:tr w14:paraId="486AB1A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shd w:val="clear" w:color="auto" w:fill="FABF8F" w:themeFill="accent6" w:themeFillTint="99"/>
            <w:vAlign w:val="center"/>
          </w:tcPr>
          <w:p w14:paraId="108A9EE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判断流程</w:t>
            </w:r>
          </w:p>
        </w:tc>
        <w:tc>
          <w:tcPr>
            <w:tcW w:w="7990" w:type="dxa"/>
            <w:tcBorders>
              <w:tl2br w:val="nil"/>
              <w:tr2bl w:val="nil"/>
            </w:tcBorders>
            <w:shd w:val="clear" w:color="auto" w:fill="FABF8F" w:themeFill="accent6" w:themeFillTint="99"/>
            <w:vAlign w:val="center"/>
          </w:tcPr>
          <w:p w14:paraId="20101CF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59F1523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3EBBE3A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定范围</w:t>
            </w:r>
          </w:p>
        </w:tc>
        <w:tc>
          <w:tcPr>
            <w:tcW w:w="7990" w:type="dxa"/>
            <w:tcBorders>
              <w:tl2br w:val="nil"/>
              <w:tr2bl w:val="nil"/>
            </w:tcBorders>
            <w:vAlign w:val="center"/>
          </w:tcPr>
          <w:p w14:paraId="0AEF3216">
            <w:pPr>
              <w:numPr>
                <w:ilvl w:val="0"/>
                <w:numId w:val="0"/>
              </w:numPr>
              <w:spacing w:before="120" w:after="120" w:line="288" w:lineRule="auto"/>
              <w:jc w:val="left"/>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根据物质大小（大分子/小分子）和运输特征（是否穿膜），判断是“胞吞/胞吐”还是“穿膜运输”</w:t>
            </w:r>
          </w:p>
        </w:tc>
      </w:tr>
      <w:tr w14:paraId="019ACC6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771E0C7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抓核心</w:t>
            </w:r>
          </w:p>
        </w:tc>
        <w:tc>
          <w:tcPr>
            <w:tcW w:w="7990" w:type="dxa"/>
            <w:tcBorders>
              <w:tl2br w:val="nil"/>
              <w:tr2bl w:val="nil"/>
            </w:tcBorders>
            <w:vAlign w:val="center"/>
          </w:tcPr>
          <w:p w14:paraId="79949EC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针对穿膜运输，提取三个关键信息——①浓度梯度（顺/逆）；②是否需要载体蛋白；③是否需要能量（如题干提及“缺氧影响运输”“钠钾泵”等暗示需能量）</w:t>
            </w:r>
          </w:p>
        </w:tc>
      </w:tr>
      <w:tr w14:paraId="50135EC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7373FED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配类型</w:t>
            </w:r>
          </w:p>
        </w:tc>
        <w:tc>
          <w:tcPr>
            <w:tcW w:w="7990" w:type="dxa"/>
            <w:tcBorders>
              <w:tl2br w:val="nil"/>
              <w:tr2bl w:val="nil"/>
            </w:tcBorders>
            <w:vAlign w:val="center"/>
          </w:tcPr>
          <w:p w14:paraId="277DE77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对照三要素表格匹配运输方式，若为曲线/示意图，先转化为“三要素语言”再匹配</w:t>
            </w:r>
          </w:p>
        </w:tc>
      </w:tr>
      <w:tr w14:paraId="693C7C4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4E9CB76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验特例</w:t>
            </w:r>
          </w:p>
        </w:tc>
        <w:tc>
          <w:tcPr>
            <w:tcW w:w="7990" w:type="dxa"/>
            <w:tcBorders>
              <w:tl2br w:val="nil"/>
              <w:tr2bl w:val="nil"/>
            </w:tcBorders>
            <w:vAlign w:val="center"/>
          </w:tcPr>
          <w:p w14:paraId="09C30F8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结合特殊物质运输方式验证（如葡萄糖的不同运输场景），避免错误判断</w:t>
            </w:r>
          </w:p>
        </w:tc>
      </w:tr>
    </w:tbl>
    <w:p w14:paraId="4E8C1E8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20" name="图片 20"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6BE389F5">
      <w:pPr>
        <w:shd w:val="clear" w:color="auto" w:fill="auto"/>
        <w:spacing w:line="360" w:lineRule="auto"/>
        <w:jc w:val="left"/>
        <w:textAlignment w:val="center"/>
        <w:rPr>
          <w:rFonts w:hint="eastAsia" w:ascii="宋体" w:hAnsi="宋体" w:eastAsia="宋体" w:cs="宋体"/>
          <w:sz w:val="21"/>
          <w:szCs w:val="21"/>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default" w:ascii="Times New Roman" w:hAnsi="Times New Roman" w:eastAsia="宋体" w:cs="Times New Roman"/>
        </w:rPr>
        <w:t>1．</w:t>
      </w:r>
      <w:r>
        <w:rPr>
          <w:rFonts w:hint="eastAsia" w:ascii="Times New Roman" w:hAnsi="Times New Roman" w:eastAsia="宋体" w:cs="Times New Roman"/>
          <w:b/>
          <w:bCs/>
          <w:color w:val="953735" w:themeColor="accent2" w:themeShade="BF"/>
          <w:lang w:val="en-US" w:eastAsia="zh-CN"/>
        </w:rPr>
        <w:t>（2025·重庆·高考真题）</w:t>
      </w:r>
      <w:r>
        <w:rPr>
          <w:rFonts w:hint="eastAsia" w:ascii="宋体" w:hAnsi="宋体" w:eastAsia="宋体" w:cs="宋体"/>
          <w:sz w:val="21"/>
          <w:szCs w:val="21"/>
        </w:rPr>
        <w:t>骨关节炎是一种难以治愈的常见疾病，研究发现患者软骨细胞膜上的Na</w:t>
      </w:r>
      <w:r>
        <w:rPr>
          <w:rFonts w:hint="eastAsia" w:ascii="宋体" w:hAnsi="宋体" w:eastAsia="宋体" w:cs="宋体"/>
          <w:sz w:val="21"/>
          <w:szCs w:val="21"/>
          <w:vertAlign w:val="superscript"/>
        </w:rPr>
        <w:t>+</w:t>
      </w:r>
      <w:r>
        <w:rPr>
          <w:rFonts w:hint="eastAsia" w:ascii="宋体" w:hAnsi="宋体" w:eastAsia="宋体" w:cs="宋体"/>
          <w:sz w:val="21"/>
          <w:szCs w:val="21"/>
        </w:rPr>
        <w:t>通道蛋白明显多于正常人，从而影响NCX载体蛋白对Ca</w:t>
      </w:r>
      <w:r>
        <w:rPr>
          <w:rFonts w:hint="eastAsia" w:ascii="宋体" w:hAnsi="宋体" w:eastAsia="宋体" w:cs="宋体"/>
          <w:sz w:val="21"/>
          <w:szCs w:val="21"/>
          <w:vertAlign w:val="superscript"/>
        </w:rPr>
        <w:t>2+</w:t>
      </w:r>
      <w:r>
        <w:rPr>
          <w:rFonts w:hint="eastAsia" w:ascii="宋体" w:hAnsi="宋体" w:eastAsia="宋体" w:cs="宋体"/>
          <w:sz w:val="21"/>
          <w:szCs w:val="21"/>
        </w:rPr>
        <w:t>的运输，据图分析，下列叙述错误的是（</w:t>
      </w:r>
      <w:r>
        <w:rPr>
          <w:rFonts w:hint="eastAsia" w:ascii="宋体" w:hAnsi="宋体" w:eastAsia="宋体" w:cs="宋体"/>
          <w:kern w:val="0"/>
          <w:sz w:val="21"/>
          <w:szCs w:val="21"/>
        </w:rPr>
        <w:t>    </w:t>
      </w:r>
      <w:r>
        <w:rPr>
          <w:rFonts w:hint="eastAsia" w:ascii="宋体" w:hAnsi="宋体" w:eastAsia="宋体" w:cs="宋体"/>
          <w:sz w:val="21"/>
          <w:szCs w:val="21"/>
        </w:rPr>
        <w:t>）</w:t>
      </w:r>
    </w:p>
    <w:p w14:paraId="1AC6B06F">
      <w:pPr>
        <w:shd w:val="clear" w:color="auto" w:fill="auto"/>
        <w:spacing w:line="360" w:lineRule="auto"/>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095625" cy="1971675"/>
            <wp:effectExtent l="0" t="0" r="3175" b="9525"/>
            <wp:docPr id="100007" name="图片 100007" descr="@@@9f6150c7-29c9-4639-8816-d46ecf6dd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9f6150c7-29c9-4639-8816-d46ecf6dd919"/>
                    <pic:cNvPicPr>
                      <a:picLocks noChangeAspect="1"/>
                    </pic:cNvPicPr>
                  </pic:nvPicPr>
                  <pic:blipFill>
                    <a:blip r:embed="rId20"/>
                    <a:stretch>
                      <a:fillRect/>
                    </a:stretch>
                  </pic:blipFill>
                  <pic:spPr>
                    <a:xfrm>
                      <a:off x="0" y="0"/>
                      <a:ext cx="3095625" cy="1971675"/>
                    </a:xfrm>
                    <a:prstGeom prst="rect">
                      <a:avLst/>
                    </a:prstGeom>
                  </pic:spPr>
                </pic:pic>
              </a:graphicData>
            </a:graphic>
          </wp:inline>
        </w:drawing>
      </w:r>
    </w:p>
    <w:p w14:paraId="77C350BC">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A．Na</w:t>
      </w:r>
      <w:r>
        <w:rPr>
          <w:rFonts w:hint="eastAsia" w:ascii="宋体" w:hAnsi="宋体" w:eastAsia="宋体" w:cs="宋体"/>
          <w:sz w:val="21"/>
          <w:szCs w:val="21"/>
          <w:vertAlign w:val="superscript"/>
        </w:rPr>
        <w:t>+</w:t>
      </w:r>
      <w:r>
        <w:rPr>
          <w:rFonts w:hint="eastAsia" w:ascii="宋体" w:hAnsi="宋体" w:eastAsia="宋体" w:cs="宋体"/>
          <w:sz w:val="21"/>
          <w:szCs w:val="21"/>
        </w:rPr>
        <w:t>通道运输Na</w:t>
      </w:r>
      <w:r>
        <w:rPr>
          <w:rFonts w:hint="eastAsia" w:ascii="宋体" w:hAnsi="宋体" w:eastAsia="宋体" w:cs="宋体"/>
          <w:sz w:val="21"/>
          <w:szCs w:val="21"/>
          <w:vertAlign w:val="superscript"/>
        </w:rPr>
        <w:t>+</w:t>
      </w:r>
      <w:r>
        <w:rPr>
          <w:rFonts w:hint="eastAsia" w:ascii="宋体" w:hAnsi="宋体" w:eastAsia="宋体" w:cs="宋体"/>
          <w:sz w:val="21"/>
          <w:szCs w:val="21"/>
        </w:rPr>
        <w:t>不需要消耗ATP</w:t>
      </w:r>
    </w:p>
    <w:p w14:paraId="56019E8B">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B．运输Na</w:t>
      </w:r>
      <w:r>
        <w:rPr>
          <w:rFonts w:hint="eastAsia" w:ascii="宋体" w:hAnsi="宋体" w:eastAsia="宋体" w:cs="宋体"/>
          <w:sz w:val="21"/>
          <w:szCs w:val="21"/>
          <w:vertAlign w:val="superscript"/>
        </w:rPr>
        <w:t>+</w:t>
      </w:r>
      <w:r>
        <w:rPr>
          <w:rFonts w:hint="eastAsia" w:ascii="宋体" w:hAnsi="宋体" w:eastAsia="宋体" w:cs="宋体"/>
          <w:sz w:val="21"/>
          <w:szCs w:val="21"/>
        </w:rPr>
        <w:t>时，Na</w:t>
      </w:r>
      <w:r>
        <w:rPr>
          <w:rFonts w:hint="eastAsia" w:ascii="宋体" w:hAnsi="宋体" w:eastAsia="宋体" w:cs="宋体"/>
          <w:sz w:val="21"/>
          <w:szCs w:val="21"/>
          <w:vertAlign w:val="superscript"/>
        </w:rPr>
        <w:t>+</w:t>
      </w:r>
      <w:r>
        <w:rPr>
          <w:rFonts w:hint="eastAsia" w:ascii="宋体" w:hAnsi="宋体" w:eastAsia="宋体" w:cs="宋体"/>
          <w:sz w:val="21"/>
          <w:szCs w:val="21"/>
        </w:rPr>
        <w:t>通道和NCX载体均需与Na</w:t>
      </w:r>
      <w:r>
        <w:rPr>
          <w:rFonts w:hint="eastAsia" w:ascii="宋体" w:hAnsi="宋体" w:eastAsia="宋体" w:cs="宋体"/>
          <w:sz w:val="21"/>
          <w:szCs w:val="21"/>
          <w:vertAlign w:val="superscript"/>
        </w:rPr>
        <w:t>+</w:t>
      </w:r>
      <w:r>
        <w:rPr>
          <w:rFonts w:hint="eastAsia" w:ascii="宋体" w:hAnsi="宋体" w:eastAsia="宋体" w:cs="宋体"/>
          <w:sz w:val="21"/>
          <w:szCs w:val="21"/>
        </w:rPr>
        <w:t>结合</w:t>
      </w:r>
    </w:p>
    <w:p w14:paraId="427CA93F">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C．患者软骨细胞的Ca</w:t>
      </w:r>
      <w:r>
        <w:rPr>
          <w:rFonts w:hint="eastAsia" w:ascii="宋体" w:hAnsi="宋体" w:eastAsia="宋体" w:cs="宋体"/>
          <w:sz w:val="21"/>
          <w:szCs w:val="21"/>
          <w:vertAlign w:val="superscript"/>
        </w:rPr>
        <w:t>2+</w:t>
      </w:r>
      <w:r>
        <w:rPr>
          <w:rFonts w:hint="eastAsia" w:ascii="宋体" w:hAnsi="宋体" w:eastAsia="宋体" w:cs="宋体"/>
          <w:sz w:val="21"/>
          <w:szCs w:val="21"/>
        </w:rPr>
        <w:t>内流增多</w:t>
      </w:r>
    </w:p>
    <w:p w14:paraId="3CD764D0">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D．与NCX载体相比，Na</w:t>
      </w:r>
      <w:r>
        <w:rPr>
          <w:rFonts w:hint="eastAsia" w:ascii="宋体" w:hAnsi="宋体" w:eastAsia="宋体" w:cs="宋体"/>
          <w:sz w:val="21"/>
          <w:szCs w:val="21"/>
          <w:vertAlign w:val="superscript"/>
        </w:rPr>
        <w:t>+</w:t>
      </w:r>
      <w:r>
        <w:rPr>
          <w:rFonts w:hint="eastAsia" w:ascii="宋体" w:hAnsi="宋体" w:eastAsia="宋体" w:cs="宋体"/>
          <w:sz w:val="21"/>
          <w:szCs w:val="21"/>
        </w:rPr>
        <w:t>通道更适合作为研究药物的靶点</w:t>
      </w:r>
    </w:p>
    <w:p w14:paraId="0B90EE9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0DB16D81">
      <w:pPr>
        <w:pStyle w:val="4"/>
        <w:tabs>
          <w:tab w:val="left" w:pos="3969"/>
        </w:tabs>
        <w:spacing w:line="360" w:lineRule="auto"/>
        <w:rPr>
          <w:rFonts w:hint="eastAsia" w:ascii="Times New Roman" w:hAnsi="Times New Roman" w:cs="Times New Roman"/>
          <w:sz w:val="24"/>
          <w:szCs w:val="24"/>
        </w:rPr>
      </w:pPr>
      <w:r>
        <w:rPr>
          <w:rFonts w:hint="default" w:ascii="Times New Roman" w:hAnsi="Times New Roman" w:cs="Times New Roman" w:eastAsiaTheme="majorEastAsia"/>
        </w:rPr>
        <w:t>1．</w:t>
      </w:r>
      <w:r>
        <w:rPr>
          <w:rFonts w:ascii="Times New Roman" w:hAnsi="Times New Roman" w:cs="Times New Roman"/>
          <w:sz w:val="24"/>
          <w:szCs w:val="24"/>
        </w:rPr>
        <w:t>如图表示小鼠小肠上皮细胞对不同浓度葡萄糖的吸收速率，下列说法错误的是(　　)</w:t>
      </w:r>
    </w:p>
    <w:p w14:paraId="744A420D">
      <w:pPr>
        <w:pStyle w:val="4"/>
        <w:tabs>
          <w:tab w:val="left" w:pos="3969"/>
        </w:tabs>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114300" distR="114300">
            <wp:extent cx="1501140" cy="1329055"/>
            <wp:effectExtent l="0" t="0" r="10160" b="4445"/>
            <wp:docPr id="24" name="图片 3" descr="说明: 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说明: A28"/>
                    <pic:cNvPicPr>
                      <a:picLocks noChangeAspect="1"/>
                    </pic:cNvPicPr>
                  </pic:nvPicPr>
                  <pic:blipFill>
                    <a:blip r:embed="rId21"/>
                    <a:stretch>
                      <a:fillRect/>
                    </a:stretch>
                  </pic:blipFill>
                  <pic:spPr>
                    <a:xfrm>
                      <a:off x="0" y="0"/>
                      <a:ext cx="1501140" cy="1329055"/>
                    </a:xfrm>
                    <a:prstGeom prst="rect">
                      <a:avLst/>
                    </a:prstGeom>
                    <a:noFill/>
                    <a:ln>
                      <a:noFill/>
                    </a:ln>
                  </pic:spPr>
                </pic:pic>
              </a:graphicData>
            </a:graphic>
          </wp:inline>
        </w:drawing>
      </w:r>
    </w:p>
    <w:p w14:paraId="753D1B50">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A.葡萄糖不能直接通过磷脂双分子层，需要借助转运蛋白</w:t>
      </w:r>
    </w:p>
    <w:p w14:paraId="20B86D64">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B.肠腔葡萄糖浓度为100时，葡萄糖吸收速率达到饱和</w:t>
      </w:r>
    </w:p>
    <w:p w14:paraId="743640B4">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C.进食后小鼠小肠上皮细胞可能主要通过协助扩散吸收葡萄糖</w:t>
      </w:r>
    </w:p>
    <w:p w14:paraId="63E3BAD5">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D.小肠上皮细胞对葡萄糖的主动运输减少了食物中葡萄糖的</w:t>
      </w:r>
      <w:r>
        <w:rPr>
          <w:rFonts w:hint="eastAsia" w:ascii="Times New Roman" w:hAnsi="Times New Roman" w:cs="Times New Roman"/>
          <w:sz w:val="24"/>
          <w:szCs w:val="24"/>
        </w:rPr>
        <w:t>浪费</w:t>
      </w:r>
    </w:p>
    <w:p w14:paraId="7749015F">
      <w:pPr>
        <w:keepNext w:val="0"/>
        <w:keepLines w:val="0"/>
        <w:pageBreakBefore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bCs/>
          <w:iCs/>
          <w:spacing w:val="-8"/>
          <w:szCs w:val="21"/>
          <w:lang w:val="en-US" w:eastAsia="zh-CN"/>
        </w:rPr>
      </w:pPr>
    </w:p>
    <w:p w14:paraId="7F428AF4">
      <w:pPr>
        <w:pStyle w:val="4"/>
        <w:tabs>
          <w:tab w:val="left" w:pos="3969"/>
        </w:tabs>
        <w:spacing w:line="360" w:lineRule="auto"/>
        <w:rPr>
          <w:rFonts w:ascii="Times New Roman" w:hAnsi="Times New Roman" w:cs="Times New Roman"/>
          <w:sz w:val="24"/>
          <w:szCs w:val="24"/>
        </w:rPr>
      </w:pPr>
      <w:r>
        <w:rPr>
          <w:rFonts w:hint="default" w:ascii="Times New Roman" w:hAnsi="Times New Roman" w:cs="Times New Roman" w:eastAsiaTheme="majorEastAsia"/>
        </w:rPr>
        <w:t>2．</w:t>
      </w:r>
      <w:r>
        <w:rPr>
          <w:rFonts w:ascii="Times New Roman" w:hAnsi="Times New Roman" w:cs="Times New Roman"/>
          <w:sz w:val="24"/>
          <w:szCs w:val="24"/>
        </w:rPr>
        <w:t>Na</w:t>
      </w:r>
      <w:r>
        <w:rPr>
          <w:rFonts w:ascii="Times New Roman" w:hAnsi="Times New Roman" w:cs="Times New Roman"/>
          <w:sz w:val="24"/>
          <w:szCs w:val="24"/>
          <w:vertAlign w:val="superscript"/>
        </w:rPr>
        <w:t>＋</w:t>
      </w:r>
      <w:r>
        <w:rPr>
          <w:rFonts w:ascii="Times New Roman" w:hAnsi="Times New Roman" w:cs="Times New Roman"/>
          <w:sz w:val="24"/>
          <w:szCs w:val="24"/>
        </w:rPr>
        <w:t>跨膜运输会使细胞内pH发生改变，引</w:t>
      </w:r>
      <w:r>
        <w:rPr>
          <w:rFonts w:hint="eastAsia" w:ascii="Times New Roman" w:hAnsi="Times New Roman" w:cs="Times New Roman"/>
          <w:sz w:val="24"/>
          <w:szCs w:val="24"/>
        </w:rPr>
        <w:t>起洋葱表皮细胞花青素颜色由浅紫色逐渐变为深蓝色。加入细胞呼吸抑制剂后，颜色的改变过程减缓。根据以上信息，下列分析不合理的是</w:t>
      </w:r>
      <w:r>
        <w:rPr>
          <w:rFonts w:ascii="Times New Roman" w:hAnsi="Times New Roman" w:cs="Times New Roman"/>
          <w:sz w:val="24"/>
          <w:szCs w:val="24"/>
        </w:rPr>
        <w:t>(　　)</w:t>
      </w:r>
    </w:p>
    <w:p w14:paraId="705C49CF">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A.花青素颜色不同时，细胞液的pH不同</w:t>
      </w:r>
    </w:p>
    <w:p w14:paraId="5F743E05">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B.Na</w:t>
      </w:r>
      <w:r>
        <w:rPr>
          <w:rFonts w:ascii="Times New Roman" w:hAnsi="Times New Roman" w:cs="Times New Roman"/>
          <w:sz w:val="24"/>
          <w:szCs w:val="24"/>
          <w:vertAlign w:val="superscript"/>
        </w:rPr>
        <w:t>＋</w:t>
      </w:r>
      <w:r>
        <w:rPr>
          <w:rFonts w:ascii="Times New Roman" w:hAnsi="Times New Roman" w:cs="Times New Roman"/>
          <w:sz w:val="24"/>
          <w:szCs w:val="24"/>
        </w:rPr>
        <w:t>的跨膜运输需要膜载体蛋白的协助</w:t>
      </w:r>
    </w:p>
    <w:p w14:paraId="2CB13D0C">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C.Na</w:t>
      </w:r>
      <w:r>
        <w:rPr>
          <w:rFonts w:ascii="Times New Roman" w:hAnsi="Times New Roman" w:cs="Times New Roman"/>
          <w:sz w:val="24"/>
          <w:szCs w:val="24"/>
          <w:vertAlign w:val="superscript"/>
        </w:rPr>
        <w:t>＋</w:t>
      </w:r>
      <w:r>
        <w:rPr>
          <w:rFonts w:ascii="Times New Roman" w:hAnsi="Times New Roman" w:cs="Times New Roman"/>
          <w:sz w:val="24"/>
          <w:szCs w:val="24"/>
        </w:rPr>
        <w:t>浓度是限制其跨膜运输速率的主要因素</w:t>
      </w:r>
    </w:p>
    <w:p w14:paraId="0834BDFF">
      <w:pPr>
        <w:pStyle w:val="4"/>
        <w:tabs>
          <w:tab w:val="left" w:pos="3969"/>
        </w:tabs>
        <w:spacing w:line="360" w:lineRule="auto"/>
        <w:rPr>
          <w:rFonts w:ascii="Times New Roman" w:hAnsi="Times New Roman" w:cs="Times New Roman"/>
          <w:sz w:val="24"/>
          <w:szCs w:val="24"/>
        </w:rPr>
      </w:pPr>
      <w:r>
        <w:rPr>
          <w:rFonts w:ascii="Times New Roman" w:hAnsi="Times New Roman" w:cs="Times New Roman"/>
          <w:sz w:val="24"/>
          <w:szCs w:val="24"/>
        </w:rPr>
        <w:t>D.Na</w:t>
      </w:r>
      <w:r>
        <w:rPr>
          <w:rFonts w:ascii="Times New Roman" w:hAnsi="Times New Roman" w:cs="Times New Roman"/>
          <w:sz w:val="24"/>
          <w:szCs w:val="24"/>
          <w:vertAlign w:val="superscript"/>
        </w:rPr>
        <w:t>＋</w:t>
      </w:r>
      <w:r>
        <w:rPr>
          <w:rFonts w:ascii="Times New Roman" w:hAnsi="Times New Roman" w:cs="Times New Roman"/>
          <w:sz w:val="24"/>
          <w:szCs w:val="24"/>
        </w:rPr>
        <w:t>的跨膜运输方式是主动运输，会消耗ATP</w:t>
      </w:r>
    </w:p>
    <w:p w14:paraId="654BEDF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p>
    <w:sectPr>
      <w:headerReference r:id="rId3" w:type="default"/>
      <w:footerReference r:id="rId4" w:type="default"/>
      <w:pgSz w:w="11906" w:h="16838"/>
      <w:pgMar w:top="1252" w:right="1077" w:bottom="1417" w:left="107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890BE2C-7E80-4E86-A77C-AA1EAE9887A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2" w:fontKey="{F022E925-F33E-43B4-B1FE-C4F6F40C2A11}"/>
  </w:font>
  <w:font w:name="仿宋">
    <w:panose1 w:val="02010609060101010101"/>
    <w:charset w:val="86"/>
    <w:family w:val="auto"/>
    <w:pitch w:val="default"/>
    <w:sig w:usb0="800002BF" w:usb1="38CF7CFA" w:usb2="00000016" w:usb3="00000000" w:csb0="00040001" w:csb1="00000000"/>
    <w:embedRegular r:id="rId3" w:fontKey="{070CBA0A-5D9D-4A9A-A9F4-71A93B55F0E2}"/>
  </w:font>
  <w:font w:name="Noto Sans SC">
    <w:panose1 w:val="020B0200000000000000"/>
    <w:charset w:val="86"/>
    <w:family w:val="auto"/>
    <w:pitch w:val="default"/>
    <w:sig w:usb0="20000083" w:usb1="2ADF3C10" w:usb2="00000016" w:usb3="00000000" w:csb0="60060107" w:csb1="00000000"/>
    <w:embedRegular r:id="rId4" w:fontKey="{2EEBDE2B-B00E-4948-A901-AD338597F9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7E6EA">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8A60F5">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68A60F5">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color w:val="FFFFFF"/>
        <w:sz w:val="2"/>
        <w:szCs w:val="2"/>
      </w:rPr>
      <w:pict>
        <v:shape id="PowerPlusWaterMarkObject1453549720" o:spid="_x0000_s2054" o:spt="136" alt="学科网 zxxk.com" type="#_x0000_t136" style="position:absolute;left:0pt;margin-left:158.95pt;margin-top:407.9pt;height:2.8pt;width:2.8pt;mso-position-horizontal-relative:margin;mso-position-vertical-relative:margin;rotation:20643840f;z-index:-251655168;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5BB54D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pt;width:2.8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64F62325">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8194">
    <w:pPr>
      <w:pStyle w:val="7"/>
    </w:pPr>
  </w:p>
  <w:p w14:paraId="5FC1D79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190E4D79">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302010"/>
    <w:multiLevelType w:val="singleLevel"/>
    <w:tmpl w:val="FC302010"/>
    <w:lvl w:ilvl="0" w:tentative="0">
      <w:start w:val="1"/>
      <w:numFmt w:val="decimal"/>
      <w:lvlText w:val="%1."/>
      <w:lvlJc w:val="left"/>
      <w:pPr>
        <w:tabs>
          <w:tab w:val="left" w:pos="312"/>
        </w:tabs>
      </w:pPr>
    </w:lvl>
  </w:abstractNum>
  <w:abstractNum w:abstractNumId="1">
    <w:nsid w:val="5F1DEB6D"/>
    <w:multiLevelType w:val="singleLevel"/>
    <w:tmpl w:val="5F1DEB6D"/>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36363D4"/>
    <w:rsid w:val="03D479D5"/>
    <w:rsid w:val="05D666E9"/>
    <w:rsid w:val="09A950D4"/>
    <w:rsid w:val="0E127591"/>
    <w:rsid w:val="11F961C2"/>
    <w:rsid w:val="1A7508C7"/>
    <w:rsid w:val="1FA616CA"/>
    <w:rsid w:val="21F15F31"/>
    <w:rsid w:val="22D552C7"/>
    <w:rsid w:val="240E00BA"/>
    <w:rsid w:val="26E905C0"/>
    <w:rsid w:val="2F111F62"/>
    <w:rsid w:val="345E0335"/>
    <w:rsid w:val="379C562F"/>
    <w:rsid w:val="37B00EE0"/>
    <w:rsid w:val="3B1705C1"/>
    <w:rsid w:val="3F4007CD"/>
    <w:rsid w:val="449B5F30"/>
    <w:rsid w:val="4C45549B"/>
    <w:rsid w:val="4DA33C69"/>
    <w:rsid w:val="501F3A46"/>
    <w:rsid w:val="51A53A3C"/>
    <w:rsid w:val="54037CA3"/>
    <w:rsid w:val="58205520"/>
    <w:rsid w:val="5C7957D0"/>
    <w:rsid w:val="5E4378DD"/>
    <w:rsid w:val="61FB3BFE"/>
    <w:rsid w:val="636763A1"/>
    <w:rsid w:val="652C7746"/>
    <w:rsid w:val="6A8D2838"/>
    <w:rsid w:val="6E4F3D89"/>
    <w:rsid w:val="72C71C47"/>
    <w:rsid w:val="DBA77A08"/>
    <w:rsid w:val="FFFFD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5"/>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16"/>
    <w:qFormat/>
    <w:uiPriority w:val="0"/>
    <w:rPr>
      <w:rFonts w:ascii="宋体" w:hAnsi="Courier New" w:cs="Courier New"/>
      <w:szCs w:val="21"/>
    </w:rPr>
  </w:style>
  <w:style w:type="paragraph" w:styleId="5">
    <w:name w:val="Balloon Text"/>
    <w:basedOn w:val="1"/>
    <w:link w:val="18"/>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FollowedHyperlink"/>
    <w:basedOn w:val="11"/>
    <w:qFormat/>
    <w:uiPriority w:val="0"/>
    <w:rPr>
      <w:color w:val="800080"/>
      <w:u w:val="single"/>
    </w:rPr>
  </w:style>
  <w:style w:type="character" w:styleId="14">
    <w:name w:val="Hyperlink"/>
    <w:basedOn w:val="11"/>
    <w:semiHidden/>
    <w:unhideWhenUsed/>
    <w:qFormat/>
    <w:uiPriority w:val="99"/>
    <w:rPr>
      <w:color w:val="0000FF"/>
      <w:u w:val="single"/>
    </w:rPr>
  </w:style>
  <w:style w:type="character" w:customStyle="1" w:styleId="15">
    <w:name w:val="标题 2 字符"/>
    <w:basedOn w:val="11"/>
    <w:link w:val="2"/>
    <w:qFormat/>
    <w:uiPriority w:val="9"/>
    <w:rPr>
      <w:rFonts w:ascii="宋体" w:hAnsi="宋体" w:eastAsia="宋体" w:cs="Times New Roman"/>
      <w:b/>
      <w:bCs/>
      <w:kern w:val="0"/>
      <w:sz w:val="36"/>
      <w:szCs w:val="36"/>
    </w:rPr>
  </w:style>
  <w:style w:type="character" w:customStyle="1" w:styleId="16">
    <w:name w:val="纯文本 字符"/>
    <w:basedOn w:val="11"/>
    <w:link w:val="4"/>
    <w:qFormat/>
    <w:uiPriority w:val="0"/>
    <w:rPr>
      <w:rFonts w:ascii="宋体" w:hAnsi="Courier New" w:cs="Courier New"/>
      <w:szCs w:val="21"/>
    </w:rPr>
  </w:style>
  <w:style w:type="character" w:customStyle="1" w:styleId="17">
    <w:name w:val="页眉 字符"/>
    <w:basedOn w:val="11"/>
    <w:link w:val="7"/>
    <w:qFormat/>
    <w:uiPriority w:val="0"/>
    <w:rPr>
      <w:sz w:val="18"/>
      <w:szCs w:val="24"/>
    </w:rPr>
  </w:style>
  <w:style w:type="character" w:customStyle="1" w:styleId="18">
    <w:name w:val="批注框文本 字符"/>
    <w:basedOn w:val="11"/>
    <w:link w:val="5"/>
    <w:semiHidden/>
    <w:qFormat/>
    <w:uiPriority w:val="99"/>
    <w:rPr>
      <w:sz w:val="18"/>
      <w:szCs w:val="18"/>
    </w:rPr>
  </w:style>
  <w:style w:type="character" w:customStyle="1" w:styleId="19">
    <w:name w:val="页脚 字符"/>
    <w:basedOn w:val="11"/>
    <w:link w:val="6"/>
    <w:qFormat/>
    <w:uiPriority w:val="99"/>
    <w:rPr>
      <w:sz w:val="18"/>
      <w:szCs w:val="18"/>
    </w:rPr>
  </w:style>
  <w:style w:type="character" w:customStyle="1" w:styleId="20">
    <w:name w:val="纯文本 Char1"/>
    <w:qFormat/>
    <w:locked/>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sv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2.xml><?xml version="1.0" encoding="utf-8"?>
<contractReview xmlns="http://schemas.wps.cn/vas-ai-hub/contract-review">
  <reviewItems>
    <reviewItem>
      <errorID>d12def25-7deb-4e17-9a07-52bbaef8a982</errorID>
      <errorWord>如如</errorWord>
      <group>L1_Word</group>
      <groupName>字词问题</groupName>
      <ability>L2_Typo</ability>
      <abilityName>字词错误</abilityName>
      <candidateList>
        <item>如</item>
      </candidateList>
      <explain/>
      <paraID>779BF340</paraID>
      <start>27</start>
      <end>28</end>
      <status>modified</status>
      <modifiedWord>如</modifiedWord>
      <trackRevisions>false</trackRevisions>
    </reviewItem>
    <reviewItem>
      <errorID>e01e02cd-8903-4217-86de-b560be395f11</errorID>
      <errorWord>、</errorWord>
      <group>L1_Punc</group>
      <groupName>标点问题</groupName>
      <ability>L2_Punc</ability>
      <abilityName>标点符号检查</abilityName>
      <candidateList>
        <item>.</item>
      </candidateList>
      <explain/>
      <paraID>4DEC2C28</paraID>
      <start>1</start>
      <end>2</end>
      <status>unmodified</status>
      <modifiedWord/>
      <trackRevisions>false</trackRevisions>
    </reviewItem>
    <reviewItem>
      <errorID>b220d6ed-42e1-460a-ba00-120caf8e6a26</errorID>
      <errorWord>(</errorWord>
      <group>L1_Format</group>
      <groupName>格式问题</groupName>
      <ability>L2_HalfPunc</ability>
      <abilityName>全半角检查</abilityName>
      <candidateList>
        <item>（</item>
      </candidateList>
      <explain>文本全半角错误。</explain>
      <paraID>1ABC1FD0</paraID>
      <start>3</start>
      <end>4</end>
      <status>unmodified</status>
      <modifiedWord/>
      <trackRevisions>false</trackRevisions>
    </reviewItem>
    <reviewItem>
      <errorID>ff76b8e4-4a19-4436-86b6-12fe044c6f26</errorID>
      <errorWord>)</errorWord>
      <group>L1_Format</group>
      <groupName>格式问题</groupName>
      <ability>L2_HalfPunc</ability>
      <abilityName>全半角检查</abilityName>
      <candidateList>
        <item>）</item>
      </candidateList>
      <explain>文本全半角错误。</explain>
      <paraID>1ABC1FD0</paraID>
      <start>7</start>
      <end>8</end>
      <status>unmodified</status>
      <modifiedWord/>
      <trackRevisions>false</trackRevisions>
    </reviewItem>
    <reviewItem>
      <errorID>68f6a29d-7127-474f-84c7-fc701ac5f945</errorID>
      <errorWord>(</errorWord>
      <group>L1_Format</group>
      <groupName>格式问题</groupName>
      <ability>L2_HalfPunc</ability>
      <abilityName>全半角检查</abilityName>
      <candidateList>
        <item>（</item>
      </candidateList>
      <explain>文本全半角错误。</explain>
      <paraID>1ABC1FD0</paraID>
      <start>14</start>
      <end>15</end>
      <status>unmodified</status>
      <modifiedWord/>
      <trackRevisions>false</trackRevisions>
    </reviewItem>
    <reviewItem>
      <errorID>7b9e0083-3c2c-46ec-9daa-9bea46456133</errorID>
      <errorWord>)</errorWord>
      <group>L1_Format</group>
      <groupName>格式问题</groupName>
      <ability>L2_HalfPunc</ability>
      <abilityName>全半角检查</abilityName>
      <candidateList>
        <item>）</item>
      </candidateList>
      <explain>文本全半角错误。</explain>
      <paraID>1ABC1FD0</paraID>
      <start>24</start>
      <end>25</end>
      <status>unmodified</status>
      <modifiedWord/>
      <trackRevisions>false</trackRevisions>
    </reviewItem>
    <reviewItem>
      <errorID>0650f508-6843-40ef-99f2-3a98ba7ee3dd</errorID>
      <errorWord>(</errorWord>
      <group>L1_Format</group>
      <groupName>格式问题</groupName>
      <ability>L2_HalfPunc</ability>
      <abilityName>全半角检查</abilityName>
      <candidateList>
        <item>（</item>
      </candidateList>
      <explain>文本全半角错误。</explain>
      <paraID>3B2EAAF5</paraID>
      <start>4</start>
      <end>5</end>
      <status>unmodified</status>
      <modifiedWord/>
      <trackRevisions>false</trackRevisions>
    </reviewItem>
    <reviewItem>
      <errorID>b5a60297-a813-4b0c-ac2c-e28771792689</errorID>
      <errorWord>)</errorWord>
      <group>L1_Format</group>
      <groupName>格式问题</groupName>
      <ability>L2_HalfPunc</ability>
      <abilityName>全半角检查</abilityName>
      <candidateList>
        <item>）</item>
      </candidateList>
      <explain>文本全半角错误。</explain>
      <paraID>3B2EAAF5</paraID>
      <start>9</start>
      <end>10</end>
      <status>unmodified</status>
      <modifiedWord/>
      <trackRevisions>false</trackRevisions>
    </reviewItem>
    <reviewItem>
      <errorID>46772e7b-5765-4acf-b037-fa18d9453252</errorID>
      <errorWord>(</errorWord>
      <group>L1_Format</group>
      <groupName>格式问题</groupName>
      <ability>L2_HalfPunc</ability>
      <abilityName>全半角检查</abilityName>
      <candidateList>
        <item>（</item>
      </candidateList>
      <explain>文本全半角错误。</explain>
      <paraID>3B2EAAF5</paraID>
      <start>17</start>
      <end>18</end>
      <status>unmodified</status>
      <modifiedWord/>
      <trackRevisions>false</trackRevisions>
    </reviewItem>
    <reviewItem>
      <errorID>cd443eda-80d6-46da-af04-b3a386dace6f</errorID>
      <errorWord>)</errorWord>
      <group>L1_Format</group>
      <groupName>格式问题</groupName>
      <ability>L2_HalfPunc</ability>
      <abilityName>全半角检查</abilityName>
      <candidateList>
        <item>）</item>
      </candidateList>
      <explain>文本全半角错误。</explain>
      <paraID>3B2EAAF5</paraID>
      <start>21</start>
      <end>22</end>
      <status>unmodified</status>
      <modifiedWord/>
      <trackRevisions>false</trackRevisions>
    </reviewItem>
    <reviewItem>
      <errorID>87152e4c-57ba-4692-8993-dc36eea7fc67</errorID>
      <errorWord>)</errorWord>
      <group>L1_Format</group>
      <groupName>格式问题</groupName>
      <ability>L2_HalfPunc</ability>
      <abilityName>全半角检查</abilityName>
      <candidateList>
        <item>）</item>
      </candidateList>
      <explain>文本全半角错误。</explain>
      <paraID>3530B1FF</paraID>
      <start>7</start>
      <end>8</end>
      <status>unmodified</status>
      <modifiedWord/>
      <trackRevisions>false</trackRevisions>
    </reviewItem>
    <reviewItem>
      <errorID>332de233-b668-4211-b0ee-18bb3488d43f</errorID>
      <errorWord>(</errorWord>
      <group>L1_Format</group>
      <groupName>格式问题</groupName>
      <ability>L2_HalfPunc</ability>
      <abilityName>全半角检查</abilityName>
      <candidateList>
        <item>（</item>
      </candidateList>
      <explain>文本全半角错误。</explain>
      <paraID>42555F65</paraID>
      <start>8</start>
      <end>9</end>
      <status>unmodified</status>
      <modifiedWord/>
      <trackRevisions>false</trackRevisions>
    </reviewItem>
    <reviewItem>
      <errorID>4ead5a92-afce-4e68-9ece-c72b58e67106</errorID>
      <errorWord>)</errorWord>
      <group>L1_Format</group>
      <groupName>格式问题</groupName>
      <ability>L2_HalfPunc</ability>
      <abilityName>全半角检查</abilityName>
      <candidateList>
        <item>）</item>
      </candidateList>
      <explain>文本全半角错误。</explain>
      <paraID>42555F65</paraID>
      <start>17</start>
      <end>18</end>
      <status>unmodified</status>
      <modifiedWord/>
      <trackRevisions>false</trackRevisions>
    </reviewItem>
    <reviewItem>
      <errorID>182697b5-5bff-4f1c-9d98-7dacbd551314</errorID>
      <errorWord>(</errorWord>
      <group>L1_Format</group>
      <groupName>格式问题</groupName>
      <ability>L2_HalfPunc</ability>
      <abilityName>全半角检查</abilityName>
      <candidateList>
        <item>（</item>
      </candidateList>
      <explain>文本全半角错误。</explain>
      <paraID>42555F65</paraID>
      <start>27</start>
      <end>28</end>
      <status>unmodified</status>
      <modifiedWord/>
      <trackRevisions>false</trackRevisions>
    </reviewItem>
    <reviewItem>
      <errorID>39ec0ea7-7671-4393-9b81-55d8014f52e5</errorID>
      <errorWord>)</errorWord>
      <group>L1_Format</group>
      <groupName>格式问题</groupName>
      <ability>L2_HalfPunc</ability>
      <abilityName>全半角检查</abilityName>
      <candidateList>
        <item>）</item>
      </candidateList>
      <explain>文本全半角错误。</explain>
      <paraID>42555F65</paraID>
      <start>35</start>
      <end>36</end>
      <status>unmodified</status>
      <modifiedWord/>
      <trackRevisions>false</trackRevisions>
    </reviewItem>
    <reviewItem>
      <errorID>5ffc8e63-b6a0-4cc2-a063-86065e3dbe97</errorID>
      <errorWord>(</errorWord>
      <group>L1_Format</group>
      <groupName>格式问题</groupName>
      <ability>L2_HalfPunc</ability>
      <abilityName>全半角检查</abilityName>
      <candidateList>
        <item>（</item>
      </candidateList>
      <explain>文本全半角错误。</explain>
      <paraID>42555F65</paraID>
      <start>45</start>
      <end>46</end>
      <status>unmodified</status>
      <modifiedWord/>
      <trackRevisions>false</trackRevisions>
    </reviewItem>
    <reviewItem>
      <errorID>c9428bea-a111-4f76-97b1-0f92403bd56b</errorID>
      <errorWord>)</errorWord>
      <group>L1_Format</group>
      <groupName>格式问题</groupName>
      <ability>L2_HalfPunc</ability>
      <abilityName>全半角检查</abilityName>
      <candidateList>
        <item>）</item>
      </candidateList>
      <explain>文本全半角错误。</explain>
      <paraID>42555F65</paraID>
      <start>51</start>
      <end>52</end>
      <status>unmodified</status>
      <modifiedWord/>
      <trackRevisions>false</trackRevisions>
    </reviewItem>
    <reviewItem>
      <errorID>6c78ee3f-4f70-475f-bacc-b22dd8099eb8</errorID>
      <errorWord>(</errorWord>
      <group>L1_Format</group>
      <groupName>格式问题</groupName>
      <ability>L2_HalfPunc</ability>
      <abilityName>全半角检查</abilityName>
      <candidateList>
        <item>（</item>
      </candidateList>
      <explain>文本全半角错误。</explain>
      <paraID>3CBD41C6</paraID>
      <start>6</start>
      <end>7</end>
      <status>unmodified</status>
      <modifiedWord/>
      <trackRevisions>false</trackRevisions>
    </reviewItem>
    <reviewItem>
      <errorID>3bb63374-23e1-4850-b831-44bb267c8857</errorID>
      <errorWord>)</errorWord>
      <group>L1_Format</group>
      <groupName>格式问题</groupName>
      <ability>L2_HalfPunc</ability>
      <abilityName>全半角检查</abilityName>
      <candidateList>
        <item>）</item>
      </candidateList>
      <explain>文本全半角错误。</explain>
      <paraID>3CBD41C6</paraID>
      <start>16</start>
      <end>17</end>
      <status>unmodified</status>
      <modifiedWord/>
      <trackRevisions>false</trackRevisions>
    </reviewItem>
    <reviewItem>
      <errorID>f45b0fae-ecf4-4338-8cb0-b4b53c2ff80c</errorID>
      <errorWord>(</errorWord>
      <group>L1_Format</group>
      <groupName>格式问题</groupName>
      <ability>L2_HalfPunc</ability>
      <abilityName>全半角检查</abilityName>
      <candidateList>
        <item>（</item>
      </candidateList>
      <explain>文本全半角错误。</explain>
      <paraID>3CBD41C6</paraID>
      <start>25</start>
      <end>26</end>
      <status>unmodified</status>
      <modifiedWord/>
      <trackRevisions>false</trackRevisions>
    </reviewItem>
    <reviewItem>
      <errorID>b5ba9339-9425-4082-b960-41dde6acc729</errorID>
      <errorWord>)</errorWord>
      <group>L1_Format</group>
      <groupName>格式问题</groupName>
      <ability>L2_HalfPunc</ability>
      <abilityName>全半角检查</abilityName>
      <candidateList>
        <item>）</item>
      </candidateList>
      <explain>文本全半角错误。</explain>
      <paraID>3CBD41C6</paraID>
      <start>36</start>
      <end>37</end>
      <status>unmodified</status>
      <modifiedWord/>
      <trackRevisions>false</trackRevisions>
    </reviewItem>
    <reviewItem>
      <errorID>72d2a4d9-b42a-4fd3-9097-10b7e392e8ce</errorID>
      <errorWord>(</errorWord>
      <group>L1_Format</group>
      <groupName>格式问题</groupName>
      <ability>L2_HalfPunc</ability>
      <abilityName>全半角检查</abilityName>
      <candidateList>
        <item>（</item>
      </candidateList>
      <explain>文本全半角错误。</explain>
      <paraID>3CBD41C6</paraID>
      <start>46</start>
      <end>47</end>
      <status>unmodified</status>
      <modifiedWord/>
      <trackRevisions>false</trackRevisions>
    </reviewItem>
    <reviewItem>
      <errorID>5c9452b5-9d26-49f7-93c3-c308d8f0dd49</errorID>
      <errorWord>)</errorWord>
      <group>L1_Format</group>
      <groupName>格式问题</groupName>
      <ability>L2_HalfPunc</ability>
      <abilityName>全半角检查</abilityName>
      <candidateList>
        <item>）</item>
      </candidateList>
      <explain>文本全半角错误。</explain>
      <paraID>3CBD41C6</paraID>
      <start>59</start>
      <end>60</end>
      <status>unmodified</status>
      <modifiedWord/>
      <trackRevisions>false</trackRevisions>
    </reviewItem>
    <reviewItem>
      <errorID>91c2514c-f035-4898-9dc4-4513ae306c5b</errorID>
      <errorWord>(</errorWord>
      <group>L1_Format</group>
      <groupName>格式问题</groupName>
      <ability>L2_HalfPunc</ability>
      <abilityName>全半角检查</abilityName>
      <candidateList>
        <item>（</item>
      </candidateList>
      <explain>文本全半角错误。</explain>
      <paraID> A45489A</paraID>
      <start>13</start>
      <end>14</end>
      <status>unmodified</status>
      <modifiedWord/>
      <trackRevisions>false</trackRevisions>
    </reviewItem>
    <reviewItem>
      <errorID>d1880b77-69e1-4856-aac3-9843946bbee5</errorID>
      <errorWord>)</errorWord>
      <group>L1_Format</group>
      <groupName>格式问题</groupName>
      <ability>L2_HalfPunc</ability>
      <abilityName>全半角检查</abilityName>
      <candidateList>
        <item>）</item>
      </candidateList>
      <explain>文本全半角错误。</explain>
      <paraID> A45489A</paraID>
      <start>29</start>
      <end>30</end>
      <status>unmodified</status>
      <modifiedWord/>
      <trackRevisions>false</trackRevisions>
    </reviewItem>
    <reviewItem>
      <errorID>9f7bde90-4316-4cba-b062-a36a6c54b6e6</errorID>
      <errorWord>(</errorWord>
      <group>L1_Format</group>
      <groupName>格式问题</groupName>
      <ability>L2_HalfPunc</ability>
      <abilityName>全半角检查</abilityName>
      <candidateList>
        <item>（</item>
      </candidateList>
      <explain>文本全半角错误。</explain>
      <paraID> A45489A</paraID>
      <start>39</start>
      <end>40</end>
      <status>unmodified</status>
      <modifiedWord/>
      <trackRevisions>false</trackRevisions>
    </reviewItem>
    <reviewItem>
      <errorID>1d25f4ee-3497-40d7-829a-790132ae8854</errorID>
      <errorWord>)</errorWord>
      <group>L1_Format</group>
      <groupName>格式问题</groupName>
      <ability>L2_HalfPunc</ability>
      <abilityName>全半角检查</abilityName>
      <candidateList>
        <item>）</item>
      </candidateList>
      <explain>文本全半角错误。</explain>
      <paraID> A45489A</paraID>
      <start>47</start>
      <end>48</end>
      <status>unmodified</status>
      <modifiedWord/>
      <trackRevisions>false</trackRevisions>
    </reviewItem>
    <reviewItem>
      <errorID>0140553d-5b69-4047-b6db-8085a76159b9</errorID>
      <errorWord>(</errorWord>
      <group>L1_Format</group>
      <groupName>格式问题</groupName>
      <ability>L2_HalfPunc</ability>
      <abilityName>全半角检查</abilityName>
      <candidateList>
        <item>（</item>
      </candidateList>
      <explain>文本全半角错误。</explain>
      <paraID>4677E664</paraID>
      <start>36</start>
      <end>37</end>
      <status>unmodified</status>
      <modifiedWord/>
      <trackRevisions>false</trackRevisions>
    </reviewItem>
    <reviewItem>
      <errorID>85347387-61f4-4754-852c-0108aa15ad27</errorID>
      <errorWord>)</errorWord>
      <group>L1_Format</group>
      <groupName>格式问题</groupName>
      <ability>L2_HalfPunc</ability>
      <abilityName>全半角检查</abilityName>
      <candidateList>
        <item>）</item>
      </candidateList>
      <explain>文本全半角错误。</explain>
      <paraID>4677E664</paraID>
      <start>41</start>
      <end>42</end>
      <status>unmodified</status>
      <modifiedWord/>
      <trackRevisions>false</trackRevisions>
    </reviewItem>
    <reviewItem>
      <errorID>3942b90b-e293-47ee-ad52-d7a6b4ffccd2</errorID>
      <errorWord>-</errorWord>
      <group>L1_Format</group>
      <groupName>格式问题</groupName>
      <ability>L2_HalfPunc</ability>
      <abilityName>全半角检查</abilityName>
      <candidateList>
        <item>－</item>
      </candidateList>
      <explain>文本全半角错误。</explain>
      <paraID>3600FF44</paraID>
      <start>20</start>
      <end>21</end>
      <status>unmodified</status>
      <modifiedWord/>
      <trackRevisions>false</trackRevisions>
    </reviewItem>
    <reviewItem>
      <errorID>22f27c91-76ae-4356-8206-942358978029</errorID>
      <errorWord>-</errorWord>
      <group>L1_Format</group>
      <groupName>格式问题</groupName>
      <ability>L2_HalfPunc</ability>
      <abilityName>全半角检查</abilityName>
      <candidateList>
        <item>－</item>
      </candidateList>
      <explain>文本全半角错误。</explain>
      <paraID>3600FF44</paraID>
      <start>32</start>
      <end>33</end>
      <status>unmodified</status>
      <modifiedWord/>
      <trackRevisions>false</trackRevisions>
    </reviewItem>
    <reviewItem>
      <errorID>3a1dcce6-48e8-45d3-8915-6c64361990ee</errorID>
      <errorWord>间</errorWord>
      <group>L1_Word</group>
      <groupName>字词问题</groupName>
      <ability>L2_Typo</ability>
      <abilityName>字词错误</abilityName>
      <candidateList>
        <item>间结</item>
      </candidateList>
      <explain/>
      <paraID> 76F9DFB</paraID>
      <start>42</start>
      <end>44</end>
      <status>modified</status>
      <modifiedWord>间结</modifiedWord>
      <trackRevisions>false</trackRevisions>
    </reviewItem>
    <reviewItem>
      <errorID>158597ed-e915-40c5-a398-e7ccf89a5141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4BDC8BF</paraID>
      <start>0</start>
      <end>3</end>
      <status>unmodified</status>
      <modifiedWord/>
      <trackRevisions>false</trackRevisions>
    </reviewItem>
    <reviewItem>
      <errorID>db1a2073-0785-405e-a2dd-3f558ca26565</errorID>
      <errorWord>;</errorWord>
      <group>L1_Format</group>
      <groupName>格式问题</groupName>
      <ability>L2_HalfPunc</ability>
      <abilityName>全半角检查</abilityName>
      <candidateList>
        <item>；</item>
      </candidateList>
      <explain>文本全半角错误。</explain>
      <paraID> 4BDC8BF</paraID>
      <start>21</start>
      <end>22</end>
      <status>unmodified</status>
      <modifiedWord/>
      <trackRevisions>false</trackRevisions>
    </reviewItem>
    <reviewItem>
      <errorID>27f5d4a0-539c-4944-8e4a-35f0a64f49e7</errorID>
      <errorWord>;</errorWord>
      <group>L1_Format</group>
      <groupName>格式问题</groupName>
      <ability>L2_HalfPunc</ability>
      <abilityName>全半角检查</abilityName>
      <candidateList>
        <item>；</item>
      </candidateList>
      <explain>文本全半角错误。</explain>
      <paraID> 4BDC8BF</paraID>
      <start>30</start>
      <end>31</end>
      <status>unmodified</status>
      <modifiedWord/>
      <trackRevisions>false</trackRevisions>
    </reviewItem>
    <reviewItem>
      <errorID>c0069d74-0e9d-434d-9ac6-c99d0d87fae9</errorID>
      <errorWord>)</errorWord>
      <group>L1_Format</group>
      <groupName>格式问题</groupName>
      <ability>L2_HalfPunc</ability>
      <abilityName>全半角检查</abilityName>
      <candidateList>
        <item>）</item>
      </candidateList>
      <explain>文本全半角错误。</explain>
      <paraID> 4BDC8BF</paraID>
      <start>45</start>
      <end>46</end>
      <status>unmodified</status>
      <modifiedWord/>
      <trackRevisions>false</trackRevisions>
    </reviewItem>
    <reviewItem>
      <errorID>e75bdcb1-fe4c-4690-baca-82c21f6cfbe0</errorID>
      <errorWord>;</errorWord>
      <group>L1_Format</group>
      <groupName>格式问题</groupName>
      <ability>L2_HalfPunc</ability>
      <abilityName>全半角检查</abilityName>
      <candidateList>
        <item>；</item>
      </candidateList>
      <explain>文本全半角错误。</explain>
      <paraID> 4BDC8BF</paraID>
      <start>58</start>
      <end>59</end>
      <status>unmodified</status>
      <modifiedWord/>
      <trackRevisions>false</trackRevisions>
    </reviewItem>
    <reviewItem>
      <errorID>0eca199d-d9be-4940-9c4d-df7f96d9c4a4</errorID>
      <errorWord>)</errorWord>
      <group>L1_Format</group>
      <groupName>格式问题</groupName>
      <ability>L2_HalfPunc</ability>
      <abilityName>全半角检查</abilityName>
      <candidateList>
        <item>）</item>
      </candidateList>
      <explain>文本全半角错误。</explain>
      <paraID> 4BDC8BF</paraID>
      <start>75</start>
      <end>76</end>
      <status>unmodified</status>
      <modifiedWord/>
      <trackRevisions>false</trackRevisions>
    </reviewItem>
    <reviewItem>
      <errorID>6c3c8169-6b92-4d1d-ba9c-16fcf2dad71b</errorID>
      <errorWord>,</errorWord>
      <group>L1_Format</group>
      <groupName>格式问题</groupName>
      <ability>L2_HalfPunc</ability>
      <abilityName>全半角检查</abilityName>
      <candidateList>
        <item>，</item>
      </candidateList>
      <explain>文本全半角错误。</explain>
      <paraID>22C8CEAF</paraID>
      <start>11</start>
      <end>12</end>
      <status>unmodified</status>
      <modifiedWord/>
      <trackRevisions>false</trackRevisions>
    </reviewItem>
    <reviewItem>
      <errorID>e4464381-ac39-4867-8c3e-7d9f22d1746a</errorID>
      <errorWord>,</errorWord>
      <group>L1_Format</group>
      <groupName>格式问题</groupName>
      <ability>L2_HalfPunc</ability>
      <abilityName>全半角检查</abilityName>
      <candidateList>
        <item>，</item>
      </candidateList>
      <explain>文本全半角错误。</explain>
      <paraID>16391A5B</paraID>
      <start>10</start>
      <end>11</end>
      <status>unmodified</status>
      <modifiedWord/>
      <trackRevisions>false</trackRevisions>
    </reviewItem>
    <reviewItem>
      <errorID>b5765f40-0a08-441e-8a44-2f1791ed5c2b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62F5C1A2</paraID>
      <start>0</start>
      <end>3</end>
      <status>unmodified</status>
      <modifiedWord/>
      <trackRevisions>false</trackRevisions>
    </reviewItem>
    <reviewItem>
      <errorID>f9d8412b-7240-4e8f-9d76-6e1e49e525c0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607FFD05</paraID>
      <start>0</start>
      <end>3</end>
      <status>unmodified</status>
      <modifiedWord/>
      <trackRevisions>false</trackRevisions>
    </reviewItem>
    <reviewItem>
      <errorID>faa48dc0-c16c-433d-b4e2-1821239905a4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237475BD</paraID>
      <start>0</start>
      <end>3</end>
      <status>unmodified</status>
      <modifiedWord/>
      <trackRevisions>false</trackRevisions>
    </reviewItem>
    <reviewItem>
      <errorID>2d3c071e-60af-40fa-bd26-bee85939041b</errorID>
      <errorWord>(</errorWord>
      <group>L1_Format</group>
      <groupName>格式问题</groupName>
      <ability>L2_HalfPunc</ability>
      <abilityName>全半角检查</abilityName>
      <candidateList>
        <item>（</item>
      </candidateList>
      <explain>文本全半角错误。</explain>
      <paraID>4EC1B763</paraID>
      <start>4</start>
      <end>5</end>
      <status>unmodified</status>
      <modifiedWord/>
      <trackRevisions>false</trackRevisions>
    </reviewItem>
    <reviewItem>
      <errorID>10709db7-b942-4467-aee1-8b47152a008a</errorID>
      <errorWord>)</errorWord>
      <group>L1_Format</group>
      <groupName>格式问题</groupName>
      <ability>L2_HalfPunc</ability>
      <abilityName>全半角检查</abilityName>
      <candidateList>
        <item>）</item>
      </candidateList>
      <explain>文本全半角错误。</explain>
      <paraID>4EC1B763</paraID>
      <start>12</start>
      <end>13</end>
      <status>unmodified</status>
      <modifiedWord/>
      <trackRevisions>false</trackRevisions>
    </reviewItem>
    <reviewItem>
      <errorID>664fbe3c-4b95-4dd2-9701-eb4eafad7a6c</errorID>
      <errorWord>其它物质</errorWord>
      <group>L1_Word</group>
      <groupName>字词问题</groupName>
      <ability>L2_Alias</ability>
      <abilityName>也作/曾用词</abilityName>
      <candidateList>
        <item>其他物质</item>
      </candidateList>
      <explain>词汇[其它物质]为不规范表述或旧称，其规范书面表述为[其他物质]。</explain>
      <paraID>2EB2E9BC</paraID>
      <start>3</start>
      <end>7</end>
      <status>modified</status>
      <modifiedWord>其他物质</modifiedWord>
      <trackRevisions>false</trackRevisions>
    </reviewItem>
    <reviewItem>
      <errorID>157a1e44-d829-4e86-b252-62153ac6603f</errorID>
      <errorWord>物质</errorWord>
      <group>L1_Word</group>
      <groupName>字词问题</groupName>
      <ability>L2_Typo</ability>
      <abilityName>字词错误</abilityName>
      <candidateList>
        <item>物资</item>
      </candidateList>
      <explain/>
      <paraID>581EC6E2</paraID>
      <start>0</start>
      <end>2</end>
      <status>unmodified</status>
      <modifiedWord/>
      <trackRevisions>false</trackRevisions>
    </reviewItem>
    <reviewItem>
      <errorID>b88f1125-7512-4a1a-b859-8c405e1229f5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396E5F2</paraID>
      <start>0</start>
      <end>2</end>
      <status>unmodified</status>
      <modifiedWord/>
      <trackRevisions>false</trackRevisions>
    </reviewItem>
    <reviewItem>
      <errorID>450b188b-273e-4672-b76d-cac630231d6b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5F83256A</paraID>
      <start>0</start>
      <end>2</end>
      <status>unmodified</status>
      <modifiedWord/>
      <trackRevisions>false</trackRevisions>
    </reviewItem>
    <reviewItem>
      <errorID>7ae87c4d-160e-4d82-a78f-b57db928e041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670BDBAD</paraID>
      <start>0</start>
      <end>2</end>
      <status>unmodified</status>
      <modifiedWord/>
      <trackRevisions>false</trackRevisions>
    </reviewItem>
    <reviewItem>
      <errorID>8b88db3c-eaac-4cc6-8863-bcac74cb7f41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65262D4B</paraID>
      <start>0</start>
      <end>2</end>
      <status>unmodified</status>
      <modifiedWord/>
      <trackRevisions>false</trackRevisions>
    </reviewItem>
    <reviewItem>
      <errorID>f66b514e-9908-451f-8ff6-bebb57d43e39</errorID>
      <errorWord>(</errorWord>
      <group>L1_Format</group>
      <groupName>格式问题</groupName>
      <ability>L2_HalfPunc</ability>
      <abilityName>全半角检查</abilityName>
      <candidateList>
        <item>（</item>
      </candidateList>
      <explain>文本全半角错误。</explain>
      <paraID>65262D4B</paraID>
      <start>56</start>
      <end>57</end>
      <status>unmodified</status>
      <modifiedWord/>
      <trackRevisions>false</trackRevisions>
    </reviewItem>
    <reviewItem>
      <errorID>12b7c9b2-9789-4820-ad0b-41df27dd8a5b</errorID>
      <errorWord>)</errorWord>
      <group>L1_Format</group>
      <groupName>格式问题</groupName>
      <ability>L2_HalfPunc</ability>
      <abilityName>全半角检查</abilityName>
      <candidateList>
        <item>）</item>
      </candidateList>
      <explain>文本全半角错误。</explain>
      <paraID>65262D4B</paraID>
      <start>59</start>
      <end>60</end>
      <status>unmodified</status>
      <modifiedWord/>
      <trackRevisions>false</trackRevisions>
    </reviewItem>
    <reviewItem>
      <errorID>2c87b726-e62b-48e4-8e5a-f57213eb4d7c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421AFD54</paraID>
      <start>0</start>
      <end>2</end>
      <status>unmodified</status>
      <modifiedWord/>
      <trackRevisions>false</trackRevisions>
    </reviewItem>
    <reviewItem>
      <errorID>46c03e4c-f592-47fc-aef2-ccf3feabcc2e</errorID>
      <errorWord>(</errorWord>
      <group>L1_Format</group>
      <groupName>格式问题</groupName>
      <ability>L2_HalfPunc</ability>
      <abilityName>全半角检查</abilityName>
      <candidateList>
        <item>（</item>
      </candidateList>
      <explain>文本全半角错误。</explain>
      <paraID>421AFD54</paraID>
      <start>71</start>
      <end>72</end>
      <status>unmodified</status>
      <modifiedWord/>
      <trackRevisions>false</trackRevisions>
    </reviewItem>
    <reviewItem>
      <errorID>43b1f4ed-b1e6-4fec-be03-c72bb325e75e</errorID>
      <errorWord>)</errorWord>
      <group>L1_Format</group>
      <groupName>格式问题</groupName>
      <ability>L2_HalfPunc</ability>
      <abilityName>全半角检查</abilityName>
      <candidateList>
        <item>）</item>
      </candidateList>
      <explain>文本全半角错误。</explain>
      <paraID>421AFD54</paraID>
      <start>79</start>
      <end>80</end>
      <status>unmodified</status>
      <modifiedWord/>
      <trackRevisions>false</trackRevisions>
    </reviewItem>
    <reviewItem>
      <errorID>8bc5ae83-3349-408b-af3b-662a81a3b5bc</errorID>
      <errorWord>(</errorWord>
      <group>L1_Format</group>
      <groupName>格式问题</groupName>
      <ability>L2_HalfPunc</ability>
      <abilityName>全半角检查</abilityName>
      <candidateList>
        <item>（</item>
      </candidateList>
      <explain>文本全半角错误。</explain>
      <paraID>421AFD54</paraID>
      <start>119</start>
      <end>120</end>
      <status>unmodified</status>
      <modifiedWord/>
      <trackRevisions>false</trackRevisions>
    </reviewItem>
    <reviewItem>
      <errorID>47343a14-f0e2-43f5-994c-058c53a39a25</errorID>
      <errorWord>)</errorWord>
      <group>L1_Format</group>
      <groupName>格式问题</groupName>
      <ability>L2_HalfPunc</ability>
      <abilityName>全半角检查</abilityName>
      <candidateList>
        <item>）</item>
      </candidateList>
      <explain>文本全半角错误。</explain>
      <paraID>421AFD54</paraID>
      <start>122</start>
      <end>123</end>
      <status>unmodified</status>
      <modifiedWord/>
      <trackRevisions>false</trackRevisions>
    </reviewItem>
    <reviewItem>
      <errorID>ac4186c0-e704-4fca-ae6f-a114a70ed1b4</errorID>
      <errorWord>(</errorWord>
      <group>L1_Format</group>
      <groupName>格式问题</groupName>
      <ability>L2_HalfPunc</ability>
      <abilityName>全半角检查</abilityName>
      <candidateList>
        <item>（</item>
      </candidateList>
      <explain>文本全半角错误。</explain>
      <paraID>632F49F0</paraID>
      <start>2</start>
      <end>3</end>
      <status>unmodified</status>
      <modifiedWord/>
      <trackRevisions>false</trackRevisions>
    </reviewItem>
    <reviewItem>
      <errorID>ea6c5e2b-547e-4216-a50a-e83ba200bd19</errorID>
      <errorWord>)</errorWord>
      <group>L1_Format</group>
      <groupName>格式问题</groupName>
      <ability>L2_HalfPunc</ability>
      <abilityName>全半角检查</abilityName>
      <candidateList>
        <item>）</item>
      </candidateList>
      <explain>文本全半角错误。</explain>
      <paraID>632F49F0</paraID>
      <start>5</start>
      <end>6</end>
      <status>unmodified</status>
      <modifiedWord/>
      <trackRevisions>false</trackRevisions>
    </reviewItem>
    <reviewItem>
      <errorID>c0c573a7-6f8e-482d-872e-fe0ccc72480b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DB16D81</paraID>
      <start>0</start>
      <end>2</end>
      <status>unmodified</status>
      <modifiedWord/>
      <trackRevisions>false</trackRevisions>
    </reviewItem>
    <reviewItem>
      <errorID>3ea27f3c-95c0-4a36-be7f-cef3b47aadd8</errorID>
      <errorWord>(</errorWord>
      <group>L1_Format</group>
      <groupName>格式问题</groupName>
      <ability>L2_HalfPunc</ability>
      <abilityName>全半角检查</abilityName>
      <candidateList>
        <item>（</item>
      </candidateList>
      <explain>文本全半角错误。</explain>
      <paraID> DB16D81</paraID>
      <start>36</start>
      <end>37</end>
      <status>unmodified</status>
      <modifiedWord/>
      <trackRevisions>false</trackRevisions>
    </reviewItem>
    <reviewItem>
      <errorID>9ee28202-019f-4375-91c8-e248e128bdce</errorID>
      <errorWord>)</errorWord>
      <group>L1_Format</group>
      <groupName>格式问题</groupName>
      <ability>L2_HalfPunc</ability>
      <abilityName>全半角检查</abilityName>
      <candidateList>
        <item>）</item>
      </candidateList>
      <explain>文本全半角错误。</explain>
      <paraID> DB16D81</paraID>
      <start>39</start>
      <end>40</end>
      <status>unmodified</status>
      <modifiedWord/>
      <trackRevisions>false</trackRevisions>
    </reviewItem>
    <reviewItem>
      <errorID>49549a2a-9d1d-42bf-8967-06598ccdfd4d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7F428AF4</paraID>
      <start>0</start>
      <end>2</end>
      <status>unmodified</status>
      <modifiedWord/>
      <trackRevisions>false</trackRevisions>
    </reviewItem>
    <reviewItem>
      <errorID>767029e5-d7d1-411f-937b-4aee4609566f</errorID>
      <errorWord>(</errorWord>
      <group>L1_Format</group>
      <groupName>格式问题</groupName>
      <ability>L2_HalfPunc</ability>
      <abilityName>全半角检查</abilityName>
      <candidateList>
        <item>（</item>
      </candidateList>
      <explain>文本全半角错误。</explain>
      <paraID>7F428AF4</paraID>
      <start>83</start>
      <end>84</end>
      <status>unmodified</status>
      <modifiedWord/>
      <trackRevisions>false</trackRevisions>
    </reviewItem>
    <reviewItem>
      <errorID>d93688bd-0a0d-4ad1-99f3-58ab332be77a</errorID>
      <errorWord>)</errorWord>
      <group>L1_Format</group>
      <groupName>格式问题</groupName>
      <ability>L2_HalfPunc</ability>
      <abilityName>全半角检查</abilityName>
      <candidateList>
        <item>）</item>
      </candidateList>
      <explain>文本全半角错误。</explain>
      <paraID>7F428AF4</paraID>
      <start>86</start>
      <end>87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d10512-2b0a-4772-9843-05a3de497873}">
  <ds:schemaRefs/>
</ds:datastoreItem>
</file>

<file path=docProps/app.xml><?xml version="1.0" encoding="utf-8"?>
<Properties xmlns="http://schemas.openxmlformats.org/officeDocument/2006/extended-properties" xmlns:vt="http://schemas.openxmlformats.org/officeDocument/2006/docPropsVTypes">
  <Template>Normal</Template>
  <Pages>12</Pages>
  <Words>819</Words>
  <Characters>852</Characters>
  <Lines>115</Lines>
  <Paragraphs>32</Paragraphs>
  <TotalTime>0</TotalTime>
  <ScaleCrop>false</ScaleCrop>
  <LinksUpToDate>false</LinksUpToDate>
  <CharactersWithSpaces>887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2024-11-26T15:46:00Z</dcterms:created>
  <dc:creator>Administrator</dc:creator>
  <cp:lastModifiedBy>张弥</cp:lastModifiedBy>
  <dcterms:modified xsi:type="dcterms:W3CDTF">2026-04-23T04:45:34Z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2052-12.1.0.25865</vt:lpwstr>
  </property>
  <property fmtid="{D5CDD505-2E9C-101B-9397-08002B2CF9AE}" pid="8" name="ICV">
    <vt:lpwstr>B96FA8AFAB434B89A69BDE028B46A545_12</vt:lpwstr>
  </property>
</Properties>
</file>