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Times New Roman" w:hAnsi="Times New Roman" w:eastAsia="微软雅黑" w:cs="Times New Roman"/>
          <w:b/>
          <w:bCs/>
          <w:sz w:val="36"/>
          <w:szCs w:val="36"/>
          <w:lang w:val="en-US" w:eastAsia="zh-CN"/>
        </w:rPr>
      </w:pPr>
      <w:bookmarkStart w:id="0" w:name="_GoBack"/>
      <w:bookmarkEnd w:id="0"/>
      <w:r>
        <w:rPr>
          <w:rFonts w:hint="default" w:ascii="Times New Roman" w:hAnsi="Times New Roman" w:eastAsia="微软雅黑" w:cs="Times New Roman"/>
          <w:b/>
          <w:bCs/>
          <w:sz w:val="36"/>
          <w:szCs w:val="36"/>
          <w:highlight w:val="none"/>
          <w:lang w:val="en-US" w:eastAsia="zh-CN"/>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11277600</wp:posOffset>
            </wp:positionV>
            <wp:extent cx="406400" cy="457200"/>
            <wp:effectExtent l="0" t="0" r="12700" b="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6"/>
                    <a:stretch>
                      <a:fillRect/>
                    </a:stretch>
                  </pic:blipFill>
                  <pic:spPr>
                    <a:xfrm>
                      <a:off x="0" y="0"/>
                      <a:ext cx="406400" cy="4572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1312"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2336"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3360"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eastAsia="zh-CN"/>
        </w:rPr>
        <w:t>宝典</w:t>
      </w:r>
      <w:r>
        <w:rPr>
          <w:rFonts w:hint="default" w:ascii="Times New Roman" w:hAnsi="Times New Roman" w:eastAsia="微软雅黑" w:cs="Times New Roman"/>
          <w:b/>
          <w:bCs/>
          <w:sz w:val="36"/>
          <w:szCs w:val="36"/>
        </w:rPr>
        <w:t>0</w:t>
      </w:r>
      <w:r>
        <w:rPr>
          <w:rFonts w:hint="default" w:ascii="Times New Roman" w:hAnsi="Times New Roman" w:eastAsia="微软雅黑" w:cs="Times New Roman"/>
          <w:b/>
          <w:bCs/>
          <w:sz w:val="36"/>
          <w:szCs w:val="36"/>
          <w:lang w:val="en-US" w:eastAsia="zh-CN"/>
        </w:rPr>
        <w:t xml:space="preserve">1  </w:t>
      </w:r>
      <w:r>
        <w:rPr>
          <w:rFonts w:hint="default" w:ascii="Times New Roman" w:hAnsi="Times New Roman" w:eastAsia="微软雅黑" w:cs="Times New Roman"/>
          <w:b/>
          <w:sz w:val="36"/>
          <w:szCs w:val="36"/>
          <w:lang w:val="en-US" w:eastAsia="zh-CN"/>
        </w:rPr>
        <w:t>细胞的</w:t>
      </w:r>
      <w:r>
        <w:rPr>
          <w:rFonts w:hint="eastAsia" w:ascii="Times New Roman" w:hAnsi="Times New Roman" w:eastAsia="微软雅黑" w:cs="Times New Roman"/>
          <w:b/>
          <w:sz w:val="36"/>
          <w:szCs w:val="36"/>
          <w:lang w:val="en-US" w:eastAsia="zh-CN"/>
        </w:rPr>
        <w:t>分子组成、</w:t>
      </w:r>
      <w:r>
        <w:rPr>
          <w:rFonts w:hint="default" w:ascii="Times New Roman" w:hAnsi="Times New Roman" w:eastAsia="微软雅黑" w:cs="Times New Roman"/>
          <w:b/>
          <w:sz w:val="36"/>
          <w:szCs w:val="36"/>
          <w:lang w:val="en-US" w:eastAsia="zh-CN"/>
        </w:rPr>
        <w:t>基本结构和物质运输</w:t>
      </w:r>
    </w:p>
    <w:p w14:paraId="6796B9C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kern w:val="0"/>
          <w:sz w:val="44"/>
          <w:szCs w:val="44"/>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2703830</wp:posOffset>
                </wp:positionH>
                <wp:positionV relativeFrom="paragraph">
                  <wp:posOffset>155575</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9pt;margin-top:12.25pt;height:16.5pt;width:0pt;z-index:251660288;mso-width-relative:page;mso-height-relative:page;" filled="f" stroked="t" coordsize="21600,21600" o:gfxdata="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Sc1j1QAA&#10;AAkBAAAPAAAAAAAAAAEAIAAAACIAAABkcnMvZG93bnJldi54bWxQSwECFAAUAAAACACHTuJAITU4&#10;T+gBAACoAwAADgAAAAAAAAABACAAAAAkAQAAZHJzL2Uyb0RvYy54bWxQSwUGAAAAAAYABgBZAQAA&#10;fgUAAAAA&#10;">
                <v:fill on="f" focussize="0,0"/>
                <v:stroke weight="2pt" color="#4F81BD [3204]" joinstyle="round"/>
                <v:imagedata o:title=""/>
                <o:lock v:ext="edit" aspectratio="f"/>
              </v:line>
            </w:pict>
          </mc:Fallback>
        </mc:AlternateContent>
      </w:r>
      <w:r>
        <w:rPr>
          <w:rFonts w:hint="default" w:ascii="Times New Roman" w:hAnsi="Times New Roman" w:cs="Times New Roman"/>
          <w:sz w:val="21"/>
        </w:rPr>
        <mc:AlternateContent>
          <mc:Choice Requires="wps">
            <w:drawing>
              <wp:inline distT="0" distB="0" distL="114300" distR="114300">
                <wp:extent cx="6102985" cy="2814320"/>
                <wp:effectExtent l="6350" t="6350" r="12065" b="24130"/>
                <wp:docPr id="63" name="文本框 7"/>
                <wp:cNvGraphicFramePr/>
                <a:graphic xmlns:a="http://schemas.openxmlformats.org/drawingml/2006/main">
                  <a:graphicData uri="http://schemas.microsoft.com/office/word/2010/wordprocessingShape">
                    <wps:wsp>
                      <wps:cNvSpPr txBox="1"/>
                      <wps:spPr>
                        <a:xfrm>
                          <a:off x="900430" y="1517015"/>
                          <a:ext cx="6102985" cy="2814320"/>
                        </a:xfrm>
                        <a:prstGeom prst="rect">
                          <a:avLst/>
                        </a:prstGeom>
                        <a:noFill/>
                        <a:ln w="12700">
                          <a:solidFill>
                            <a:srgbClr val="C00000"/>
                          </a:solidFill>
                          <a:prstDash val="lgDashDotDot"/>
                        </a:ln>
                      </wps:spPr>
                      <wps:txbx>
                        <w:txbxContent>
                          <w:p w14:paraId="1F958EC8">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3235B2D">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6A6FB060">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5E8037E6">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1B351CA3">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50353138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3138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98130939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939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141595164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5164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59E2C8E7">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01 </w:t>
                            </w:r>
                            <w:r>
                              <w:rPr>
                                <w:rFonts w:hint="eastAsia" w:ascii="微软雅黑" w:hAnsi="微软雅黑" w:eastAsia="微软雅黑" w:cs="微软雅黑"/>
                                <w:lang w:val="en-US" w:eastAsia="zh-CN"/>
                              </w:rPr>
                              <w:t>四类生物学物质辨析</w:t>
                            </w:r>
                          </w:p>
                          <w:p w14:paraId="6422F6A1">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通过蛋白质合成过程，理解细胞结构的分工协作</w:t>
                            </w:r>
                          </w:p>
                          <w:p w14:paraId="51688C37">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仿宋" w:hAnsi="仿宋" w:eastAsia="仿宋" w:cs="仿宋"/>
                                <w:b/>
                                <w:bCs/>
                                <w:color w:val="4F6228" w:themeColor="accent3" w:themeShade="80"/>
                                <w:kern w:val="2"/>
                                <w:sz w:val="22"/>
                                <w:szCs w:val="22"/>
                                <w:highlight w:val="green"/>
                                <w:lang w:val="en-US" w:eastAsia="zh-CN" w:bidi="ar-SA"/>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提取信息巧判跨膜运输方式</w:t>
                            </w:r>
                          </w:p>
                        </w:txbxContent>
                      </wps:txbx>
                      <wps:bodyPr wrap="square" rtlCol="0" anchor="ctr"/>
                    </wps:wsp>
                  </a:graphicData>
                </a:graphic>
              </wp:inline>
            </w:drawing>
          </mc:Choice>
          <mc:Fallback>
            <w:pict>
              <v:shape id="文本框 7" o:spid="_x0000_s1026" o:spt="202" type="#_x0000_t202" style="height:221.6pt;width:480.55pt;v-text-anchor:middle;" filled="f" stroked="t" coordsize="21600,21600" o:gfxdata="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T45ddcAAAAFAQAADwAAAAAAAAABACAAAAAiAAAAZHJzL2Rvd25yZXYueG1s&#10;UEsBAhQAFAAAAAgAh07iQMMyArv5AQAAyAMAAA4AAAAAAAAAAQAgAAAAJgEAAGRycy9lMm9Eb2Mu&#10;eG1sUEsFBgAAAAAGAAYAWQEAAJEFAAAAAA==&#10;">
                <v:fill on="f" focussize="0,0"/>
                <v:stroke weight="1pt" color="#C00000" joinstyle="round" dashstyle="longDashDotDot"/>
                <v:imagedata o:title=""/>
                <o:lock v:ext="edit" aspectratio="f"/>
                <v:textbox>
                  <w:txbxContent>
                    <w:p w14:paraId="1F958EC8">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03235B2D">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6A6FB060">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5E8037E6">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1B351CA3">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50353138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3138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98130939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939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141595164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51648"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59E2C8E7">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01 </w:t>
                      </w:r>
                      <w:r>
                        <w:rPr>
                          <w:rFonts w:hint="eastAsia" w:ascii="微软雅黑" w:hAnsi="微软雅黑" w:eastAsia="微软雅黑" w:cs="微软雅黑"/>
                          <w:lang w:val="en-US" w:eastAsia="zh-CN"/>
                        </w:rPr>
                        <w:t>四类生物学物质辨析</w:t>
                      </w:r>
                    </w:p>
                    <w:p w14:paraId="6422F6A1">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通过蛋白质合成过程，理解细胞结构的分工协作</w:t>
                      </w:r>
                    </w:p>
                    <w:p w14:paraId="51688C37">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仿宋" w:hAnsi="仿宋" w:eastAsia="仿宋" w:cs="仿宋"/>
                          <w:b/>
                          <w:bCs/>
                          <w:color w:val="4F6228" w:themeColor="accent3" w:themeShade="80"/>
                          <w:kern w:val="2"/>
                          <w:sz w:val="22"/>
                          <w:szCs w:val="22"/>
                          <w:highlight w:val="green"/>
                          <w:lang w:val="en-US" w:eastAsia="zh-CN" w:bidi="ar-SA"/>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提取信息巧判跨膜运输方式</w:t>
                      </w:r>
                    </w:p>
                  </w:txbxContent>
                </v:textbox>
                <w10:wrap type="none"/>
                <w10:anchorlock/>
              </v:shape>
            </w:pict>
          </mc:Fallback>
        </mc:AlternateContent>
      </w:r>
    </w:p>
    <w:p w14:paraId="55D8059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58925" cy="424180"/>
            <wp:effectExtent l="0" t="0" r="3175" b="139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rcRect l="37506" t="31810" r="37630" b="62354"/>
                    <a:stretch>
                      <a:fillRect/>
                    </a:stretch>
                  </pic:blipFill>
                  <pic:spPr>
                    <a:xfrm>
                      <a:off x="0" y="0"/>
                      <a:ext cx="1558925" cy="424180"/>
                    </a:xfrm>
                    <a:prstGeom prst="rect">
                      <a:avLst/>
                    </a:prstGeom>
                    <a:noFill/>
                    <a:ln w="9525">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8561"/>
      </w:tblGrid>
      <w:tr w14:paraId="674A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shd w:val="clear" w:color="auto" w:fill="F2DCDC" w:themeFill="accent2" w:themeFillTint="32"/>
            <w:vAlign w:val="center"/>
          </w:tcPr>
          <w:p w14:paraId="1A6360BE">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shd w:val="clear" w:color="auto" w:fill="auto"/>
                <w:vertAlign w:val="baseline"/>
                <w:lang w:val="en-US" w:eastAsia="zh-CN"/>
              </w:rPr>
            </w:pPr>
            <w:r>
              <w:rPr>
                <w:rFonts w:hint="default" w:ascii="Times New Roman" w:hAnsi="Times New Roman" w:cs="Times New Roman"/>
                <w:b/>
                <w:bCs/>
                <w:shd w:val="clear" w:color="auto" w:fill="auto"/>
              </w:rPr>
              <w:t>考向聚焦</w:t>
            </w:r>
          </w:p>
        </w:tc>
        <w:tc>
          <w:tcPr>
            <w:tcW w:w="8561" w:type="dxa"/>
            <w:shd w:val="clear" w:color="auto" w:fill="F2DCDC" w:themeFill="accent2" w:themeFillTint="32"/>
          </w:tcPr>
          <w:p w14:paraId="7B31C3A9">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考查形式与思维瓶颈</w:t>
            </w:r>
          </w:p>
        </w:tc>
      </w:tr>
      <w:tr w14:paraId="1C37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93EC9C8">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细胞的分子组成</w:t>
            </w:r>
          </w:p>
        </w:tc>
        <w:tc>
          <w:tcPr>
            <w:tcW w:w="8561" w:type="dxa"/>
          </w:tcPr>
          <w:p w14:paraId="779BF340">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高考中多以选择题形式考查，偶尔结合非选择题（如结合蛋白质合成、代谢调节等考查元素的组成与功能等）。</w:t>
            </w:r>
          </w:p>
          <w:p w14:paraId="12D1A383">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eastAsia="宋体" w:cs="Times New Roman"/>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易混淆生物大分子的单体、连接方式和功能（如DNA与蛋白质的合成场所与功能）；对有机物的鉴定原理和实验操作细节掌握不牢；难以从化学本质上理解其特性（如为什么DNA比RNA更适合作为遗传物质）</w:t>
            </w:r>
            <w:r>
              <w:rPr>
                <w:rFonts w:hint="eastAsia" w:ascii="Times New Roman" w:hAnsi="Times New Roman" w:eastAsia="宋体" w:cs="Times New Roman"/>
                <w:i w:val="0"/>
                <w:iCs w:val="0"/>
                <w:caps w:val="0"/>
                <w:spacing w:val="0"/>
                <w:sz w:val="21"/>
                <w:szCs w:val="21"/>
                <w:lang w:val="en-US" w:eastAsia="zh-CN"/>
              </w:rPr>
              <w:t>。</w:t>
            </w:r>
          </w:p>
        </w:tc>
      </w:tr>
      <w:tr w14:paraId="4721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DBBC4E7">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细胞的基本结构</w:t>
            </w:r>
          </w:p>
        </w:tc>
        <w:tc>
          <w:tcPr>
            <w:tcW w:w="8561" w:type="dxa"/>
            <w:vAlign w:val="top"/>
          </w:tcPr>
          <w:p w14:paraId="783F30F4">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高考中多以选择题形式考查，偶尔结合非选择题（如结合实验设计等）。</w:t>
            </w:r>
          </w:p>
          <w:p w14:paraId="3A55F23E">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结构功能联系割裂，未能建立“动态”整体观，无法在具体情境中将其串联成一个协同工作的生命系统，图像信息转化能力弱，从“图”到“理”的路径不通，因读图能力不足而无法提取有效信息</w:t>
            </w:r>
            <w:r>
              <w:rPr>
                <w:rFonts w:hint="eastAsia" w:ascii="Times New Roman" w:hAnsi="Times New Roman" w:eastAsia="宋体" w:cs="Times New Roman"/>
                <w:i w:val="0"/>
                <w:iCs w:val="0"/>
                <w:caps w:val="0"/>
                <w:spacing w:val="0"/>
                <w:sz w:val="21"/>
                <w:szCs w:val="21"/>
                <w:lang w:val="en-US" w:eastAsia="zh-CN"/>
              </w:rPr>
              <w:t>。</w:t>
            </w:r>
          </w:p>
        </w:tc>
      </w:tr>
      <w:tr w14:paraId="5AA1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0E79798F">
            <w:pPr>
              <w:keepNext w:val="0"/>
              <w:keepLines w:val="0"/>
              <w:pageBreakBefore w:val="0"/>
              <w:kinsoku/>
              <w:wordWrap/>
              <w:overflowPunct/>
              <w:topLinePunct w:val="0"/>
              <w:autoSpaceDE/>
              <w:autoSpaceDN/>
              <w:bidi w:val="0"/>
              <w:spacing w:line="360" w:lineRule="auto"/>
              <w:jc w:val="center"/>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细胞的物质运输</w:t>
            </w:r>
          </w:p>
        </w:tc>
        <w:tc>
          <w:tcPr>
            <w:tcW w:w="8561" w:type="dxa"/>
            <w:vAlign w:val="top"/>
          </w:tcPr>
          <w:p w14:paraId="006C4B69">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高考中多以选择题形式考查，偶尔结合非选择题（常结合图像曲线、实验探究等）。</w:t>
            </w:r>
          </w:p>
          <w:p w14:paraId="458F0176">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物质跨膜运输方式特点辨析不清，曲线分析能力不足，实验探究中变量设置与结果推理能力欠缺，需要将结构功能观渗透到读图析图中，从而准确得出结论。</w:t>
            </w:r>
          </w:p>
        </w:tc>
      </w:tr>
    </w:tbl>
    <w:p w14:paraId="5C7F044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460500" cy="398780"/>
            <wp:effectExtent l="0" t="0" r="6350"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2"/>
                    <a:srcRect l="37506" t="44004" r="37444" b="50096"/>
                    <a:stretch>
                      <a:fillRect/>
                    </a:stretch>
                  </pic:blipFill>
                  <pic:spPr>
                    <a:xfrm>
                      <a:off x="0" y="0"/>
                      <a:ext cx="1460500" cy="398780"/>
                    </a:xfrm>
                    <a:prstGeom prst="rect">
                      <a:avLst/>
                    </a:prstGeom>
                    <a:noFill/>
                    <a:ln w="9525">
                      <a:noFill/>
                    </a:ln>
                  </pic:spPr>
                </pic:pic>
              </a:graphicData>
            </a:graphic>
          </wp:inline>
        </w:drawing>
      </w:r>
    </w:p>
    <w:p w14:paraId="53517B6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p>
    <w:p w14:paraId="28114793">
      <w:pPr>
        <w:keepNext w:val="0"/>
        <w:keepLines w:val="0"/>
        <w:pageBreakBefore w:val="0"/>
        <w:numPr>
          <w:ilvl w:val="0"/>
          <w:numId w:val="1"/>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细胞的分子组成</w:t>
      </w:r>
    </w:p>
    <w:p w14:paraId="62C711A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（1）</w:t>
      </w:r>
      <w:r>
        <w:rPr>
          <w:rFonts w:hint="default" w:ascii="Times New Roman" w:hAnsi="Times New Roman" w:cs="Times New Roman"/>
          <w:b w:val="0"/>
          <w:bCs w:val="0"/>
          <w:shd w:val="clear" w:color="auto" w:fill="auto"/>
          <w:lang w:val="en-US" w:eastAsia="zh-CN"/>
        </w:rPr>
        <w:t>从元素到化合物：</w:t>
      </w:r>
    </w:p>
    <w:p w14:paraId="4DEC2C28">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C、H、O → 糖类、脂质、蛋白质、核酸的共同骨架。</w:t>
      </w:r>
    </w:p>
    <w:p w14:paraId="0B8A7F1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N → 蛋白质（肽键、R基）、核酸（含氮碱基）、ATP、NADPH的特征元素。</w:t>
      </w:r>
    </w:p>
    <w:p w14:paraId="7B1D1BDD">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P → 核酸、ATP、NADPH、磷脂的标志元素（形成磷酸基团，与能量、遗传信息、膜结构相关）。</w:t>
      </w:r>
    </w:p>
    <w:p w14:paraId="20E00A2C">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S → 某些蛋白质（如胰岛素）的特征元素（形成二硫键）。</w:t>
      </w:r>
    </w:p>
    <w:p w14:paraId="7B708FF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Mg、Fe等 → 构成叶绿素、血红蛋白等化合物的核心，功能与结构直接相关。</w:t>
      </w:r>
    </w:p>
    <w:p w14:paraId="18E8DCD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（2）</w:t>
      </w:r>
      <w:r>
        <w:rPr>
          <w:rFonts w:hint="default" w:ascii="Times New Roman" w:hAnsi="Times New Roman" w:cs="Times New Roman"/>
          <w:b w:val="0"/>
          <w:bCs w:val="0"/>
          <w:shd w:val="clear" w:color="auto" w:fill="auto"/>
          <w:lang w:val="en-US" w:eastAsia="zh-CN"/>
        </w:rPr>
        <w:t>从单体到多聚体：</w:t>
      </w:r>
    </w:p>
    <w:p w14:paraId="1ABC1FD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单糖 (葡萄糖) → 多糖 (淀粉、糖原、纤维素)</w:t>
      </w:r>
    </w:p>
    <w:p w14:paraId="3B2EAAF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氨基酸 (约2</w:t>
      </w:r>
      <w:r>
        <w:rPr>
          <w:rFonts w:hint="eastAsia" w:ascii="Times New Roman" w:hAnsi="Times New Roman" w:cs="Times New Roman"/>
          <w:b w:val="0"/>
          <w:bCs w:val="0"/>
          <w:shd w:val="clear" w:color="auto" w:fill="auto"/>
          <w:lang w:val="en-US" w:eastAsia="zh-CN"/>
        </w:rPr>
        <w:t>1</w:t>
      </w:r>
      <w:r>
        <w:rPr>
          <w:rFonts w:hint="default" w:ascii="Times New Roman" w:hAnsi="Times New Roman" w:cs="Times New Roman"/>
          <w:b w:val="0"/>
          <w:bCs w:val="0"/>
          <w:shd w:val="clear" w:color="auto" w:fill="auto"/>
          <w:lang w:val="en-US" w:eastAsia="zh-CN"/>
        </w:rPr>
        <w:t>种) → 蛋白质 (多肽链)</w:t>
      </w:r>
    </w:p>
    <w:p w14:paraId="3530B1FF">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核苷酸 (8种) → 核酸 (DNA, RNA)</w:t>
      </w:r>
    </w:p>
    <w:p w14:paraId="02C0469A">
      <w:pPr>
        <w:keepNext w:val="0"/>
        <w:keepLines w:val="0"/>
        <w:pageBreakBefore w:val="0"/>
        <w:numPr>
          <w:ilvl w:val="0"/>
          <w:numId w:val="2"/>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有机物的分类、联系与功能整合</w:t>
      </w:r>
    </w:p>
    <w:tbl>
      <w:tblPr>
        <w:tblStyle w:val="10"/>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3950"/>
        <w:gridCol w:w="4410"/>
      </w:tblGrid>
      <w:tr w14:paraId="1237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3D35C2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分子类别</w:t>
            </w:r>
          </w:p>
        </w:tc>
        <w:tc>
          <w:tcPr>
            <w:tcW w:w="395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1C27E1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843" w:firstLineChars="400"/>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核心功能</w:t>
            </w:r>
          </w:p>
        </w:tc>
        <w:tc>
          <w:tcPr>
            <w:tcW w:w="441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30B764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1265" w:firstLineChars="600"/>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关键联系与辨析</w:t>
            </w:r>
          </w:p>
        </w:tc>
      </w:tr>
      <w:tr w14:paraId="0406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0B621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bCs/>
                <w:color w:val="000000"/>
                <w:shd w:val="clear" w:color="auto" w:fill="auto"/>
                <w:lang w:val="en-US" w:eastAsia="zh-CN"/>
              </w:rPr>
            </w:pPr>
            <w:r>
              <w:rPr>
                <w:rFonts w:hint="eastAsia" w:ascii="Times New Roman" w:hAnsi="Times New Roman" w:cs="Times New Roman"/>
                <w:b w:val="0"/>
                <w:bCs/>
                <w:color w:val="000000"/>
                <w:shd w:val="clear" w:color="auto" w:fill="auto"/>
                <w:lang w:val="en-US" w:eastAsia="zh-CN"/>
              </w:rPr>
              <w:t>糖类</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250DC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1. 能源物质 (葡萄糖是主要能源)</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2. 结构物质 (纤维素、几丁质)</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3. 储能物质 (糖原、淀粉)</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68D9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关系：单糖 → 二糖 → 多糖（合成伴随脱水）</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辨析：植物细胞特有淀粉、纤维素；动物细胞特有糖原。</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联系：糖蛋白（识别、免疫）是糖类与蛋白质的结合。</w:t>
            </w:r>
          </w:p>
        </w:tc>
      </w:tr>
      <w:tr w14:paraId="1B62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68F05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bCs/>
                <w:color w:val="000000"/>
                <w:shd w:val="clear" w:color="auto" w:fill="auto"/>
                <w:lang w:val="en-US" w:eastAsia="zh-CN"/>
              </w:rPr>
            </w:pPr>
            <w:r>
              <w:rPr>
                <w:rFonts w:hint="eastAsia" w:ascii="Times New Roman" w:hAnsi="Times New Roman" w:cs="Times New Roman"/>
                <w:b w:val="0"/>
                <w:bCs/>
                <w:color w:val="000000"/>
                <w:shd w:val="clear" w:color="auto" w:fill="auto"/>
                <w:lang w:val="en-US" w:eastAsia="zh-CN"/>
              </w:rPr>
              <w:t>脂质</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D2376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1. 储能 (脂肪：主要储能物质)</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2. 构成膜 (磷脂：生物膜基本骨架)</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3. 调节代谢 (固醇：性激素、维生素D等)</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C8D1B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关系：都不由单体构成，但有其基本单位（如甘油、脂肪酸）。</w:t>
            </w:r>
          </w:p>
          <w:p w14:paraId="52CFFF2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辨析：脂肪只含C、H、O；磷脂还含P、N。</w:t>
            </w:r>
          </w:p>
          <w:p w14:paraId="5B62417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联系：脂肪与糖类可相互转化，但脂肪氧含量低，耗氧多，产水多。</w:t>
            </w:r>
          </w:p>
        </w:tc>
      </w:tr>
      <w:tr w14:paraId="2BBB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DC68D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shd w:val="clear" w:color="auto" w:fill="auto"/>
                <w:lang w:val="en-US" w:eastAsia="zh-CN"/>
              </w:rPr>
            </w:pPr>
            <w:r>
              <w:rPr>
                <w:rFonts w:hint="default" w:ascii="Times New Roman" w:hAnsi="Times New Roman" w:cs="Times New Roman"/>
                <w:b w:val="0"/>
                <w:bCs/>
                <w:color w:val="000000"/>
                <w:shd w:val="clear" w:color="auto" w:fill="auto"/>
                <w:lang w:val="en-US" w:eastAsia="zh-CN"/>
              </w:rPr>
              <w:t>蛋白质</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5360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1. 生命活动主要承担者 (结构、催化、运输、免疫、调节等)</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2. 信息传递 (受体、信号分子)</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292E49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关系：氨基酸种类、数目、序列 → 肽链盘曲折叠 → 特定空间结构 → 特定功能。</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核心联系：其合成由核酸控制，体现“中心法则”。</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动态视角：蛋白质结构可变（如变性），功能随之改变。</w:t>
            </w:r>
          </w:p>
        </w:tc>
      </w:tr>
      <w:tr w14:paraId="496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B00AF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shd w:val="clear" w:color="auto" w:fill="auto"/>
                <w:lang w:val="en-US" w:eastAsia="zh-CN"/>
              </w:rPr>
            </w:pPr>
            <w:r>
              <w:rPr>
                <w:rFonts w:hint="default" w:ascii="Times New Roman" w:hAnsi="Times New Roman" w:cs="Times New Roman"/>
                <w:b w:val="0"/>
                <w:bCs/>
                <w:color w:val="000000"/>
                <w:shd w:val="clear" w:color="auto" w:fill="auto"/>
                <w:lang w:val="en-US" w:eastAsia="zh-CN"/>
              </w:rPr>
              <w:t>核酸</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73606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1. 遗传信息的携带者 (DNA)</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2. 遗传信息的传递与表达者 (RNA)</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3. 能量货币/信号分子 (ATP, cAMP)</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6F43B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关系：核苷酸序列即遗传信息。</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核心网络：DNA → RNA → 蛋白质 (中心法则)，串联起整个细胞的生命活动。</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 辨析：DNA与RNA在五碳糖、含氮碱基、链、分布、功能上的区别是考查重点。</w:t>
            </w:r>
          </w:p>
        </w:tc>
      </w:tr>
    </w:tbl>
    <w:p w14:paraId="12E1BBD1">
      <w:pPr>
        <w:keepNext w:val="0"/>
        <w:keepLines w:val="0"/>
        <w:pageBreakBefore w:val="0"/>
        <w:numPr>
          <w:ilvl w:val="0"/>
          <w:numId w:val="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特例、误区与实验辨析</w:t>
      </w:r>
    </w:p>
    <w:p w14:paraId="2BA11FF8">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 xml:space="preserve">    “主要”≠“唯一”：主要能源物质-糖类 ； 主要储能物质-脂肪；遗传物质-DNA。</w:t>
      </w:r>
    </w:p>
    <w:p w14:paraId="1CA10A81">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“还原糖”和“非还原糖”的范畴：还原糖包括葡萄糖、果糖、麦芽糖等；蔗糖和多糖属于非还原糖。</w:t>
      </w:r>
    </w:p>
    <w:p w14:paraId="6B0C914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脂肪的“H”含量：脂肪中H比例高于糖类，因此相同质量下氧化分解释能多，耗氧多，产水多。</w:t>
      </w:r>
    </w:p>
    <w:p w14:paraId="312B0CA9">
      <w:pPr>
        <w:keepNext w:val="0"/>
        <w:keepLines w:val="0"/>
        <w:pageBreakBefore w:val="0"/>
        <w:numPr>
          <w:ilvl w:val="0"/>
          <w:numId w:val="0"/>
        </w:numPr>
        <w:kinsoku/>
        <w:wordWrap/>
        <w:overflowPunct/>
        <w:topLinePunct w:val="0"/>
        <w:autoSpaceDE/>
        <w:autoSpaceDN/>
        <w:bidi w:val="0"/>
        <w:adjustRightInd w:val="0"/>
        <w:snapToGrid w:val="0"/>
        <w:spacing w:line="360" w:lineRule="auto"/>
        <w:ind w:left="3150" w:leftChars="200" w:hanging="2730" w:hangingChars="13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蛋白质的“多样性”根源：直接原因：氨基酸的种类、数目、排列顺序及肽链盘曲折叠形成的空间结构不同。根本原因：DNA（基因）的多样性。</w:t>
      </w:r>
    </w:p>
    <w:p w14:paraId="51A0C68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实验鉴定“原理”：</w:t>
      </w:r>
    </w:p>
    <w:p w14:paraId="6B97C57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斐林试剂：检测还原糖，原理是Cu²⁺在碱性条件下被还原糖还原为Cu₂O（砖红色沉淀）。</w:t>
      </w:r>
    </w:p>
    <w:p w14:paraId="1BEEF761">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双缩脲试剂：检测肽键，原理是在碱性环境中Cu²⁺与肽键生成紫色络合物。</w:t>
      </w:r>
    </w:p>
    <w:p w14:paraId="06145D79">
      <w:pPr>
        <w:keepNext w:val="0"/>
        <w:keepLines w:val="0"/>
        <w:pageBreakBefore w:val="0"/>
        <w:numPr>
          <w:ilvl w:val="0"/>
          <w:numId w:val="0"/>
        </w:numPr>
        <w:kinsoku/>
        <w:wordWrap/>
        <w:overflowPunct/>
        <w:topLinePunct w:val="0"/>
        <w:autoSpaceDE/>
        <w:autoSpaceDN/>
        <w:bidi w:val="0"/>
        <w:adjustRightInd w:val="0"/>
        <w:snapToGrid w:val="0"/>
        <w:spacing w:line="360" w:lineRule="auto"/>
        <w:ind w:left="1470" w:leftChars="200" w:hanging="1050" w:hangingChars="5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二者比较：斐林试剂需现配现用、水浴加热；双缩脲试剂先加A液（NaOH）营造碱性环境，再加B液（CuSO₄）。</w:t>
      </w:r>
    </w:p>
    <w:p w14:paraId="4F1BC49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.各细胞结构的功能</w:t>
      </w:r>
    </w:p>
    <w:p w14:paraId="63DAAD6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(1)细胞膜的功能：将细胞与外界环境分隔开;控制物质进出细胞;进行细胞间的信息交流。</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(2)细胞核的功能：遗传信息库;细胞代谢和遗传的控制中心。</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(3)细胞器的功能</w:t>
      </w:r>
    </w:p>
    <w:tbl>
      <w:tblPr>
        <w:tblStyle w:val="9"/>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074"/>
        <w:gridCol w:w="4545"/>
        <w:gridCol w:w="1095"/>
        <w:gridCol w:w="2864"/>
      </w:tblGrid>
      <w:tr w14:paraId="3D70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22" w:hRule="atLeast"/>
        </w:trPr>
        <w:tc>
          <w:tcPr>
            <w:tcW w:w="107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030E26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lang w:val="en-US" w:eastAsia="zh-CN"/>
              </w:rPr>
            </w:pPr>
            <w:r>
              <w:rPr>
                <w:rFonts w:hint="default" w:ascii="Times New Roman" w:hAnsi="Times New Roman" w:cs="Times New Roman"/>
                <w:b/>
                <w:bCs w:val="0"/>
                <w:color w:val="000000"/>
                <w:lang w:val="en-US" w:eastAsia="zh-CN"/>
              </w:rPr>
              <w:t>细胞器</w:t>
            </w:r>
          </w:p>
        </w:tc>
        <w:tc>
          <w:tcPr>
            <w:tcW w:w="454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AE74D1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主要功能</w:t>
            </w:r>
          </w:p>
        </w:tc>
        <w:tc>
          <w:tcPr>
            <w:tcW w:w="109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7AD531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细胞器</w:t>
            </w:r>
          </w:p>
        </w:tc>
        <w:tc>
          <w:tcPr>
            <w:tcW w:w="286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663699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主要功能</w:t>
            </w:r>
          </w:p>
        </w:tc>
      </w:tr>
      <w:tr w14:paraId="30F2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21934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叶绿体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A5842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绿色植物光合作用的主要场所</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7397E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溶酶体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BA9DA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分解衰老、损伤的细胞器,吞噬并杀死侵入细胞的病毒、病菌</w:t>
            </w:r>
          </w:p>
        </w:tc>
      </w:tr>
      <w:tr w14:paraId="088A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DE30A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线粒体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728EA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细胞有氧呼吸的主要场所</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2920E5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液泡</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BAA85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调节植物细胞内的环境,使植物细胞保持坚挺</w:t>
            </w:r>
          </w:p>
        </w:tc>
      </w:tr>
      <w:tr w14:paraId="0FF4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A29D5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内质网</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097B8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蛋白质等大分子物质合成、加工的场所和运输通道</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4BA9D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核糖体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8AB76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合成蛋白质的场所</w:t>
            </w:r>
          </w:p>
        </w:tc>
      </w:tr>
      <w:tr w14:paraId="0666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8"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53B2F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高尔基体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ACB3F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加工、分类、包装蛋白质并发送；与植物细胞壁形成有关</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B358B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中心体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1B07A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与细胞有丝分裂有关</w:t>
            </w:r>
          </w:p>
        </w:tc>
      </w:tr>
    </w:tbl>
    <w:p w14:paraId="3359893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.物质进出细胞方式的判断</w:t>
      </w:r>
    </w:p>
    <w:p w14:paraId="79CB1C2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(1)2个“耗能”过程</w:t>
      </w:r>
    </w:p>
    <w:p w14:paraId="147674C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主动运输</w:t>
      </w:r>
    </w:p>
    <w:p w14:paraId="56F42C0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胞吞、胞吐：胞吞、胞吐借助膜的融合完成；胞吐的物质未必是大分子物质，如部分神经递质</w:t>
      </w:r>
    </w:p>
    <w:p w14:paraId="2358DA3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(2)2类蛋白质</w:t>
      </w:r>
    </w:p>
    <w:p w14:paraId="09306B7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载体蛋白：协助扩散、主动运输</w:t>
      </w:r>
    </w:p>
    <w:p w14:paraId="0C38005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通道蛋白：协助扩散，如维持静息电位时K⁺外流和产生动作电位时Na⁺内流均为协助扩散</w:t>
      </w:r>
    </w:p>
    <w:p w14:paraId="3ACECFE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(3)3种“判断标准”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3075"/>
        <w:gridCol w:w="5726"/>
      </w:tblGrid>
      <w:tr w14:paraId="5DAA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restart"/>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16E7DA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方向</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698EE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顺浓度梯度</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4D5A8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一般为被动运输</w:t>
            </w:r>
          </w:p>
        </w:tc>
      </w:tr>
      <w:tr w14:paraId="206C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2AA86DE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4D7C6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逆浓度梯度</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A52CB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主动运输（与主动运输有关的细胞器除供能的线粒体外，还有参与合成载体蛋白的核糖体等）</w:t>
            </w:r>
          </w:p>
        </w:tc>
      </w:tr>
      <w:tr w14:paraId="52F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67" w:type="dxa"/>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51722C5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动力</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A837F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浓度差</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80F17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被动运输</w:t>
            </w:r>
          </w:p>
        </w:tc>
      </w:tr>
      <w:tr w14:paraId="0B91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4964817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8FE42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耗能</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4FB39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主动运输、胞吞、胞吐（能量不一定来自ATP，也可能来自离子的电化学势能或光能）</w:t>
            </w:r>
          </w:p>
        </w:tc>
      </w:tr>
      <w:tr w14:paraId="275F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67" w:type="dxa"/>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21DD427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种类</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F965E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水</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CD00F4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协助扩散(借助水通道蛋白)、自由扩散</w:t>
            </w:r>
          </w:p>
        </w:tc>
      </w:tr>
      <w:tr w14:paraId="412A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4E135D3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BCBF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脂溶性物质、气体</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DDDE6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一般为自由扩散</w:t>
            </w:r>
          </w:p>
        </w:tc>
      </w:tr>
      <w:tr w14:paraId="41F0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56B60BD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640C4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葡萄糖、氨基酸、无机盐离子</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ADCC94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一般为主动运输</w:t>
            </w:r>
          </w:p>
        </w:tc>
      </w:tr>
      <w:tr w14:paraId="1676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144884F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D6357F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大分子、颗粒物质</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EB8B7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一般为胞吞、胞吐</w:t>
            </w:r>
          </w:p>
        </w:tc>
      </w:tr>
    </w:tbl>
    <w:p w14:paraId="38B946A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p>
    <w:p w14:paraId="7A1719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01140" cy="447040"/>
            <wp:effectExtent l="0" t="0" r="3810" b="1016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rcRect l="36815" t="55847" r="37679" b="37604"/>
                    <a:stretch>
                      <a:fillRect/>
                    </a:stretch>
                  </pic:blipFill>
                  <pic:spPr>
                    <a:xfrm>
                      <a:off x="0" y="0"/>
                      <a:ext cx="1501140" cy="447040"/>
                    </a:xfrm>
                    <a:prstGeom prst="rect">
                      <a:avLst/>
                    </a:prstGeom>
                    <a:noFill/>
                    <a:ln w="9525">
                      <a:noFill/>
                    </a:ln>
                  </pic:spPr>
                </pic:pic>
              </a:graphicData>
            </a:graphic>
          </wp:inline>
        </w:drawing>
      </w:r>
    </w:p>
    <w:p w14:paraId="24B1E39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28" name="图片 2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 xml:space="preserve">01 </w:t>
      </w:r>
      <w:r>
        <w:rPr>
          <w:rFonts w:hint="default" w:ascii="Times New Roman" w:hAnsi="Times New Roman" w:eastAsia="微软雅黑" w:cs="Times New Roman"/>
          <w:b/>
          <w:color w:val="984807" w:themeColor="accent6" w:themeShade="80"/>
          <w:sz w:val="24"/>
          <w:lang w:val="en-US" w:eastAsia="zh-CN"/>
        </w:rPr>
        <w:t>四类生物学物质辨析</w:t>
      </w:r>
    </w:p>
    <w:p w14:paraId="5C0732A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9525" b="9525"/>
            <wp:docPr id="27" name="图片 2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B88A20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1.能源物质</w:t>
      </w:r>
    </w:p>
    <w:tbl>
      <w:tblPr>
        <w:tblStyle w:val="9"/>
        <w:tblW w:w="9120"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4"/>
        <w:gridCol w:w="2085"/>
        <w:gridCol w:w="5931"/>
      </w:tblGrid>
      <w:tr w14:paraId="5B7C9C0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PrEx>
        <w:trPr>
          <w:trHeight w:val="459" w:hRule="atLeast"/>
          <w:jc w:val="center"/>
        </w:trPr>
        <w:tc>
          <w:tcPr>
            <w:tcW w:w="11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4DCDCA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物质</w:t>
            </w:r>
          </w:p>
        </w:tc>
        <w:tc>
          <w:tcPr>
            <w:tcW w:w="20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477F7D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功能</w:t>
            </w:r>
          </w:p>
        </w:tc>
        <w:tc>
          <w:tcPr>
            <w:tcW w:w="593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FBDDA7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说明</w:t>
            </w:r>
          </w:p>
        </w:tc>
      </w:tr>
      <w:tr w14:paraId="197659D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1078"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D5EE3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糖类</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66BDD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主要的能源物质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17494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一般由C、H、O三种元素组成，通过彻底氧化分解生成CO₂和H₂O，释放能量用于生命活动</w:t>
            </w:r>
          </w:p>
        </w:tc>
      </w:tr>
      <w:tr w14:paraId="371BF68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1425"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AC6D9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脂肪</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F5114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良好的储能物质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A6B2B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由C、H、O三种元素构成，与糖类相比，相同质量的脂肪氧的含量远低于糖类，而氢的含量更高，氧化分解时释放的能量更多，消耗的O₂更多</w:t>
            </w:r>
          </w:p>
        </w:tc>
      </w:tr>
      <w:tr w14:paraId="06C7A35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1090"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EBBD6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A9139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直接能源物质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A2C050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高能磷酸化合物，通过ATP和ADP的相互转化，在吸能反应和放能反应之间进行能量转移</w:t>
            </w:r>
          </w:p>
        </w:tc>
      </w:tr>
    </w:tbl>
    <w:p w14:paraId="6F63C65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p>
    <w:p w14:paraId="58124040">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bCs/>
          <w:szCs w:val="21"/>
          <w:highlight w:val="none"/>
          <w:lang w:val="en-US" w:eastAsia="zh-CN"/>
        </w:rPr>
      </w:pPr>
      <w:r>
        <w:rPr>
          <w:rFonts w:hint="default" w:ascii="Times New Roman" w:hAnsi="Times New Roman" w:cs="Times New Roman" w:eastAsiaTheme="majorEastAsia"/>
          <w:szCs w:val="21"/>
          <w:highlight w:val="none"/>
          <w:lang w:val="en-US" w:eastAsia="zh-CN"/>
        </w:rPr>
        <w:drawing>
          <wp:inline distT="0" distB="0" distL="114300" distR="114300">
            <wp:extent cx="333375" cy="333375"/>
            <wp:effectExtent l="0" t="0" r="0" b="8255"/>
            <wp:docPr id="21" name="图片 21"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注意"/>
                    <pic:cNvPicPr>
                      <a:picLocks noChangeAspect="1"/>
                    </pic:cNvPicPr>
                  </pic:nvPicPr>
                  <pic:blipFill>
                    <a:blip r:embed="rId15"/>
                    <a:stretch>
                      <a:fillRect/>
                    </a:stretch>
                  </pic:blipFill>
                  <pic:spPr>
                    <a:xfrm>
                      <a:off x="0" y="0"/>
                      <a:ext cx="333375" cy="333375"/>
                    </a:xfrm>
                    <a:prstGeom prst="rect">
                      <a:avLst/>
                    </a:prstGeom>
                  </pic:spPr>
                </pic:pic>
              </a:graphicData>
            </a:graphic>
          </wp:inline>
        </w:drawing>
      </w:r>
      <w:r>
        <w:rPr>
          <w:rFonts w:hint="default" w:ascii="Times New Roman" w:hAnsi="Times New Roman" w:cs="Times New Roman" w:eastAsiaTheme="majorEastAsia"/>
          <w:b/>
          <w:bCs/>
          <w:szCs w:val="21"/>
          <w:highlight w:val="none"/>
          <w:lang w:val="en-US" w:eastAsia="zh-CN"/>
        </w:rPr>
        <w:t>特别注意：“A”在不同结构中的含义</w:t>
      </w:r>
    </w:p>
    <w:tbl>
      <w:tblPr>
        <w:tblStyle w:val="9"/>
        <w:tblW w:w="7231"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23"/>
        <w:gridCol w:w="2423"/>
        <w:gridCol w:w="2385"/>
      </w:tblGrid>
      <w:tr w14:paraId="5C038C7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FBE329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color w:val="000000"/>
                <w:lang w:val="en-US" w:eastAsia="zh-CN"/>
              </w:rPr>
            </w:pPr>
            <w:r>
              <w:rPr>
                <w:rFonts w:hint="default" w:ascii="Times New Roman" w:hAnsi="Times New Roman" w:cs="Times New Roman"/>
                <w:b/>
                <w:color w:val="000000"/>
                <w:lang w:val="en-US" w:eastAsia="zh-CN"/>
              </w:rPr>
              <w:t>物质结构</w:t>
            </w:r>
          </w:p>
        </w:tc>
        <w:tc>
          <w:tcPr>
            <w:tcW w:w="24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C134C8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“A”的含义</w:t>
            </w:r>
          </w:p>
        </w:tc>
        <w:tc>
          <w:tcPr>
            <w:tcW w:w="23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E4E1FF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物质名称（简称）</w:t>
            </w:r>
          </w:p>
        </w:tc>
      </w:tr>
      <w:tr w14:paraId="1618BB8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6E16C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A-P~P~P</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9272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腺苷（腺嘌呤+核糖）</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B349D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r>
      <w:tr w14:paraId="0E43555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1917E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08660" cy="361950"/>
                  <wp:effectExtent l="0" t="0" r="254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708660" cy="36195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81998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55800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核苷酸</w:t>
            </w:r>
          </w:p>
        </w:tc>
      </w:tr>
      <w:tr w14:paraId="1253071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B5BEA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682625" cy="276225"/>
                  <wp:effectExtent l="0" t="0" r="317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rcRect t="222"/>
                          <a:stretch>
                            <a:fillRect/>
                          </a:stretch>
                        </pic:blipFill>
                        <pic:spPr>
                          <a:xfrm>
                            <a:off x="0" y="0"/>
                            <a:ext cx="682625" cy="276225"/>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FA0A5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腺嘌呤脱氧核苷酸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C63F8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r>
      <w:tr w14:paraId="3CC37F2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AC856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37235" cy="271780"/>
                  <wp:effectExtent l="0" t="0" r="1206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737235" cy="27178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56A6C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腺嘌呤核糖核苷酸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B45CD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r>
      <w:tr w14:paraId="5393949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7231" w:type="dxa"/>
            <w:gridSpan w:val="3"/>
            <w:tcBorders>
              <w:top w:val="single" w:color="F79646" w:sz="4" w:space="0"/>
              <w:left w:val="single" w:color="F79646" w:sz="4" w:space="0"/>
              <w:bottom w:val="single" w:color="F79646" w:sz="4" w:space="0"/>
              <w:right w:val="single" w:color="F79646" w:sz="4" w:space="0"/>
            </w:tcBorders>
            <w:shd w:val="clear" w:color="auto" w:fill="FFFFFF"/>
            <w:vAlign w:val="center"/>
          </w:tcPr>
          <w:p w14:paraId="14AAA97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以上物质中所有的“A”都含有腺嘌呤</w:t>
            </w:r>
          </w:p>
        </w:tc>
      </w:tr>
    </w:tbl>
    <w:p w14:paraId="1D2EEA5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lang w:val="en-US" w:eastAsia="zh-CN"/>
        </w:rPr>
      </w:pPr>
    </w:p>
    <w:p w14:paraId="09572F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2.核酸</w:t>
      </w:r>
    </w:p>
    <w:tbl>
      <w:tblPr>
        <w:tblStyle w:val="9"/>
        <w:tblW w:w="96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320"/>
        <w:gridCol w:w="1741"/>
        <w:gridCol w:w="5508"/>
      </w:tblGrid>
      <w:tr w14:paraId="38BA025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6" w:hRule="atLeast"/>
        </w:trPr>
        <w:tc>
          <w:tcPr>
            <w:tcW w:w="1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342339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32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3A3EA1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分类</w:t>
            </w:r>
          </w:p>
        </w:tc>
        <w:tc>
          <w:tcPr>
            <w:tcW w:w="174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ADE648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550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1B885E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35F54E7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3E52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2DD2F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病毒RNA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AABB0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170D4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RNA病毒的遗传物质，通常为单链结构，易发生变异而逃避二次免疫，导致难以研究针对RNA病毒的疫苗</w:t>
            </w:r>
          </w:p>
        </w:tc>
      </w:tr>
      <w:tr w14:paraId="24BB167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1856A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20689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mRNA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ABAD3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基因表达的载体</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D680D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通过转录获取DNA的信息并存储在mRNA的碱基序列中，作为基因表达过程中的中间分子</w:t>
            </w:r>
          </w:p>
        </w:tc>
      </w:tr>
      <w:tr w14:paraId="53D10B0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989"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BC111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C6409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tRNA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1A1F3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转运氨基酸</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D8D76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在三叶草的叶形结构中存在反密码子，可配对读取密码子的序列，并携带对应的氨基酸，将mRNA碱基序列翻译为氨基酸序列</w:t>
            </w:r>
          </w:p>
        </w:tc>
      </w:tr>
      <w:tr w14:paraId="79B987C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67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DCB11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426FB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ABB36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可参与组成核糖体，催化多肽的合成</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D86DC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核糖体中的RNA，具有催化活性，催化氨基酸脱水缩合形成多肽</w:t>
            </w:r>
          </w:p>
        </w:tc>
      </w:tr>
      <w:tr w14:paraId="448355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8" w:hRule="atLeast"/>
        </w:trPr>
        <w:tc>
          <w:tcPr>
            <w:tcW w:w="2409"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6712934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A26C5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BCB9B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碱基的排列顺序储存大量的遗传信息，通过稳定的双螺旋结构保持遗传信息的稳定性，通过半保留复制保证遗传的稳定性。是所有细胞生物和DNA病毒的遗传物质</w:t>
            </w:r>
          </w:p>
        </w:tc>
      </w:tr>
    </w:tbl>
    <w:p w14:paraId="6B8D923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lang w:val="en-US" w:eastAsia="zh-CN"/>
        </w:rPr>
      </w:pPr>
    </w:p>
    <w:p w14:paraId="2EA5088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3.信息分子及其它物质</w:t>
      </w:r>
    </w:p>
    <w:p w14:paraId="7B02608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（1）信息分子</w:t>
      </w:r>
    </w:p>
    <w:tbl>
      <w:tblPr>
        <w:tblStyle w:val="9"/>
        <w:tblW w:w="973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5"/>
        <w:gridCol w:w="3555"/>
        <w:gridCol w:w="4748"/>
      </w:tblGrid>
      <w:tr w14:paraId="5331CDC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526" w:hRule="atLeast"/>
        </w:trPr>
        <w:tc>
          <w:tcPr>
            <w:tcW w:w="143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859589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355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F21D23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474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337D98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27D1D65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80E78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神经递质</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C480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主要在神经细胞之间传递信息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29F64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未兴奋时储存在突触前神经元内的突触小泡中，兴奋时通过胞吐释放至突触间隙，作用于突触后膜的特异性受体，传递信息</w:t>
            </w:r>
          </w:p>
        </w:tc>
      </w:tr>
      <w:tr w14:paraId="0E6FC5F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3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4808B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激素</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F9ADB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在内分泌腺和靶细胞之间传递信息，调节生命活动</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E7CFB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内分泌腺分泌激素，通过体液运输到全身各处，通过与受体结合作用于靶器官和靶细胞</w:t>
            </w:r>
          </w:p>
        </w:tc>
      </w:tr>
      <w:tr w14:paraId="10526E2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6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D2B17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细胞因子</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A8CCD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主要在免疫细胞等之间传递信息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1161B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均为蛋白质，大部分由免疫细胞分泌，在受到相应刺激时产生，调节免疫系统的功能等</w:t>
            </w:r>
          </w:p>
        </w:tc>
      </w:tr>
      <w:tr w14:paraId="2DF28A2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764"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C2F10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CO₂、H⁺等</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281270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在细胞外传递特定信息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CE639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在特定调节过程中传递信息，如CO₂通过刺激脑干调节呼吸运动</w:t>
            </w:r>
          </w:p>
        </w:tc>
      </w:tr>
    </w:tbl>
    <w:p w14:paraId="6A0BC1E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val="0"/>
          <w:bCs/>
          <w:color w:val="auto"/>
          <w:sz w:val="21"/>
          <w:szCs w:val="21"/>
          <w:lang w:val="en-US" w:eastAsia="zh-CN"/>
        </w:rPr>
      </w:pPr>
    </w:p>
    <w:p w14:paraId="7E378BC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r>
        <w:rPr>
          <w:rFonts w:hint="eastAsia" w:ascii="Times New Roman" w:hAnsi="Times New Roman" w:eastAsia="宋体" w:cs="Times New Roman"/>
          <w:b w:val="0"/>
          <w:bCs/>
          <w:color w:val="auto"/>
          <w:sz w:val="21"/>
          <w:szCs w:val="21"/>
          <w:lang w:val="en-US" w:eastAsia="zh-CN"/>
        </w:rPr>
        <w:t>其他物质</w:t>
      </w:r>
    </w:p>
    <w:tbl>
      <w:tblPr>
        <w:tblStyle w:val="9"/>
        <w:tblW w:w="95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0"/>
        <w:gridCol w:w="1890"/>
        <w:gridCol w:w="6458"/>
      </w:tblGrid>
      <w:tr w14:paraId="7B05E01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B33AB2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8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1672A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645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BFCE6D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3332678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4348E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酶</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14216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催化化学反应</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C5BE2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大部分酶化学本质是蛋白质，少数是RNA，具有高效性、专一性及作用条件较温和等特性，可以使化学反应高效地进行</w:t>
            </w:r>
          </w:p>
        </w:tc>
      </w:tr>
      <w:tr w14:paraId="046659E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58AF5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抗体</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C3F3D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特异性结合抗原</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C384B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由浆细胞分泌的蛋白质，可以和抗原特异性结合并形成沉淀等，是特异性免疫中重要的免疫活性物质</w:t>
            </w:r>
          </w:p>
        </w:tc>
      </w:tr>
      <w:tr w14:paraId="5EE55B8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C0053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转运蛋白</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CB1E6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物质运输</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DCDEC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在生物膜上进行物质的运输，包括载体蛋白和通道蛋白，通过特定的空间结构进行物质的特异性运输</w:t>
            </w:r>
          </w:p>
        </w:tc>
      </w:tr>
    </w:tbl>
    <w:p w14:paraId="3DE5BF6F">
      <w:pPr>
        <w:pStyle w:val="4"/>
        <w:keepNext w:val="0"/>
        <w:keepLines w:val="0"/>
        <w:pageBreakBefore w:val="0"/>
        <w:widowControl/>
        <w:tabs>
          <w:tab w:val="left" w:pos="4200"/>
          <w:tab w:val="left" w:pos="7560"/>
        </w:tabs>
        <w:kinsoku/>
        <w:wordWrap/>
        <w:overflowPunct/>
        <w:topLinePunct w:val="0"/>
        <w:autoSpaceDE/>
        <w:autoSpaceDN/>
        <w:bidi w:val="0"/>
        <w:adjustRightInd w:val="0"/>
        <w:snapToGrid w:val="0"/>
        <w:spacing w:line="360" w:lineRule="auto"/>
        <w:ind w:left="-2" w:leftChars="-1" w:firstLine="420" w:firstLineChars="200"/>
        <w:contextualSpacing/>
        <w:textAlignment w:val="center"/>
        <w:rPr>
          <w:rFonts w:hint="default" w:ascii="Times New Roman" w:hAnsi="Times New Roman" w:cs="Times New Roman"/>
          <w:bCs/>
        </w:rPr>
      </w:pPr>
    </w:p>
    <w:p w14:paraId="35198B02">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【思维延伸】</w:t>
      </w:r>
    </w:p>
    <w:p w14:paraId="1D257F8E">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信息分子包含各类小分子及一些多肽类、蛋白质类等物质，在不同的调节系统中发挥作用，但都具有特异性。</w:t>
      </w:r>
    </w:p>
    <w:p w14:paraId="341B0B07">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细胞内的糖类、脂质、蛋白质等物质可以通过代谢相互转化。但是糖类和脂肪之间的转化程度有明显差异。糖类在供应充足的情况下，可以大量转化为脂肪；而脂肪一般只在糖类供能不足时，才会分解供能，而且不能大量转化为糖类。</w:t>
      </w:r>
    </w:p>
    <w:p w14:paraId="7041040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376092" w:themeColor="accent1" w:themeShade="BF"/>
          <w:sz w:val="24"/>
          <w:lang w:val="en-US" w:eastAsia="zh-CN"/>
        </w:rPr>
      </w:pPr>
    </w:p>
    <w:p w14:paraId="6385D4D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9525" b="9525"/>
            <wp:docPr id="7" name="图片 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15DE273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lang w:val="en-US" w:eastAsia="zh-CN"/>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default" w:ascii="Times New Roman" w:hAnsi="Times New Roman" w:eastAsia="宋体" w:cs="Times New Roman"/>
        </w:rPr>
        <w:t>1．（2024·</w:t>
      </w:r>
      <w:r>
        <w:rPr>
          <w:rFonts w:hint="default" w:ascii="Times New Roman" w:hAnsi="Times New Roman" w:eastAsia="宋体" w:cs="Times New Roman"/>
          <w:lang w:val="en-US" w:eastAsia="zh-CN"/>
        </w:rPr>
        <w:t>河北卷</w:t>
      </w:r>
      <w:r>
        <w:rPr>
          <w:rFonts w:hint="default" w:ascii="Times New Roman" w:hAnsi="Times New Roman" w:eastAsia="宋体" w:cs="Times New Roman"/>
        </w:rPr>
        <w:t>）</w:t>
      </w:r>
      <w:r>
        <w:rPr>
          <w:rFonts w:hint="default" w:ascii="Times New Roman" w:hAnsi="Times New Roman" w:eastAsia="宋体" w:cs="Times New Roman"/>
          <w:lang w:val="en-US" w:eastAsia="zh-CN"/>
        </w:rPr>
        <w:t>细胞内不具备运输功能的物质或结构是（   ）</w:t>
      </w:r>
    </w:p>
    <w:p w14:paraId="3DB0DEC4">
      <w:pPr>
        <w:keepNext w:val="0"/>
        <w:keepLines w:val="0"/>
        <w:pageBreakBefore w:val="0"/>
        <w:kinsoku/>
        <w:wordWrap/>
        <w:overflowPunct/>
        <w:topLinePunct w:val="0"/>
        <w:autoSpaceDE/>
        <w:autoSpaceDN/>
        <w:bidi w:val="0"/>
        <w:spacing w:line="360" w:lineRule="auto"/>
        <w:ind w:left="380"/>
        <w:jc w:val="left"/>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A．</w:t>
      </w:r>
      <w:r>
        <w:rPr>
          <w:rFonts w:hint="default" w:ascii="Times New Roman" w:hAnsi="Times New Roman" w:eastAsia="宋体" w:cs="Times New Roman"/>
          <w:lang w:val="en-US" w:eastAsia="zh-CN"/>
        </w:rPr>
        <w:t>结合水</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rPr>
        <w:t>B．</w:t>
      </w:r>
      <w:r>
        <w:rPr>
          <w:rFonts w:hint="default" w:ascii="Times New Roman" w:hAnsi="Times New Roman" w:eastAsia="宋体" w:cs="Times New Roman"/>
          <w:lang w:val="en-US" w:eastAsia="zh-CN"/>
        </w:rPr>
        <w:t>囊泡</w:t>
      </w:r>
    </w:p>
    <w:p w14:paraId="317D5F54">
      <w:pPr>
        <w:keepNext w:val="0"/>
        <w:keepLines w:val="0"/>
        <w:pageBreakBefore w:val="0"/>
        <w:kinsoku/>
        <w:wordWrap/>
        <w:overflowPunct/>
        <w:topLinePunct w:val="0"/>
        <w:autoSpaceDE/>
        <w:autoSpaceDN/>
        <w:bidi w:val="0"/>
        <w:spacing w:line="360" w:lineRule="auto"/>
        <w:ind w:left="380"/>
        <w:jc w:val="left"/>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C．</w:t>
      </w:r>
      <w:r>
        <w:rPr>
          <w:rFonts w:hint="default" w:ascii="Times New Roman" w:hAnsi="Times New Roman" w:eastAsia="宋体" w:cs="Times New Roman"/>
          <w:lang w:val="en-US" w:eastAsia="zh-CN"/>
        </w:rPr>
        <w:t>细胞骨架</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rPr>
        <w:t>D．</w:t>
      </w:r>
      <w:r>
        <w:rPr>
          <w:rFonts w:hint="default" w:ascii="Times New Roman" w:hAnsi="Times New Roman" w:eastAsia="宋体" w:cs="Times New Roman"/>
          <w:lang w:val="en-US" w:eastAsia="zh-CN"/>
        </w:rPr>
        <w:t>tRNA</w:t>
      </w:r>
    </w:p>
    <w:p w14:paraId="6D6AC099">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rPr>
        <w:t>【答案】</w:t>
      </w:r>
      <w:r>
        <w:rPr>
          <w:rFonts w:hint="default" w:ascii="Times New Roman" w:hAnsi="Times New Roman" w:eastAsia="宋体" w:cs="Times New Roman"/>
          <w:b/>
          <w:bCs/>
          <w:color w:val="FF0000"/>
          <w:lang w:val="en-US" w:eastAsia="zh-CN"/>
        </w:rPr>
        <w:t>A</w:t>
      </w:r>
    </w:p>
    <w:p w14:paraId="0A9DECF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b/>
          <w:bCs/>
          <w:color w:val="C00000"/>
          <w:lang w:val="en-US" w:eastAsia="zh-CN"/>
        </w:rPr>
      </w:pPr>
      <w:r>
        <w:rPr>
          <w:rFonts w:hint="default" w:ascii="Times New Roman" w:hAnsi="Times New Roman" w:eastAsia="宋体" w:cs="Times New Roman"/>
          <w:b/>
          <w:bCs/>
          <w:color w:val="FF0000"/>
          <w:lang w:val="en-US" w:eastAsia="zh-CN"/>
        </w:rPr>
        <w:t>【思路导航】结构与功能相适应</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2"/>
        <w:gridCol w:w="3323"/>
        <w:gridCol w:w="3323"/>
      </w:tblGrid>
      <w:tr w14:paraId="51B8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Align w:val="center"/>
          </w:tcPr>
          <w:p w14:paraId="5A4682E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结构（存在形式）</w:t>
            </w:r>
          </w:p>
        </w:tc>
        <w:tc>
          <w:tcPr>
            <w:tcW w:w="3323" w:type="dxa"/>
            <w:vAlign w:val="center"/>
          </w:tcPr>
          <w:p w14:paraId="057E0AC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物质</w:t>
            </w:r>
          </w:p>
        </w:tc>
        <w:tc>
          <w:tcPr>
            <w:tcW w:w="3323" w:type="dxa"/>
            <w:vAlign w:val="center"/>
          </w:tcPr>
          <w:p w14:paraId="7AA7132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功能</w:t>
            </w:r>
          </w:p>
        </w:tc>
      </w:tr>
      <w:tr w14:paraId="796E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Align w:val="center"/>
          </w:tcPr>
          <w:p w14:paraId="234B38B5">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与蛋白质、多糖等物质结合</w:t>
            </w:r>
          </w:p>
        </w:tc>
        <w:tc>
          <w:tcPr>
            <w:tcW w:w="3323" w:type="dxa"/>
            <w:vAlign w:val="center"/>
          </w:tcPr>
          <w:p w14:paraId="549F3A57">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结合水</w:t>
            </w:r>
          </w:p>
        </w:tc>
        <w:tc>
          <w:tcPr>
            <w:tcW w:w="3323" w:type="dxa"/>
            <w:vAlign w:val="center"/>
          </w:tcPr>
          <w:p w14:paraId="7F4D49FE">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生物体的构成成分</w:t>
            </w:r>
          </w:p>
        </w:tc>
      </w:tr>
      <w:tr w14:paraId="7224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Align w:val="center"/>
          </w:tcPr>
          <w:p w14:paraId="378B41CC">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膜状结构</w:t>
            </w:r>
          </w:p>
        </w:tc>
        <w:tc>
          <w:tcPr>
            <w:tcW w:w="3323" w:type="dxa"/>
            <w:vAlign w:val="center"/>
          </w:tcPr>
          <w:p w14:paraId="4DB77E3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囊泡</w:t>
            </w:r>
          </w:p>
        </w:tc>
        <w:tc>
          <w:tcPr>
            <w:tcW w:w="3323" w:type="dxa"/>
            <w:vAlign w:val="center"/>
          </w:tcPr>
          <w:p w14:paraId="134CFC0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可通过内质网→高尔基体→细胞膜→将分泌蛋白运出</w:t>
            </w:r>
          </w:p>
        </w:tc>
      </w:tr>
      <w:tr w14:paraId="218D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Align w:val="center"/>
          </w:tcPr>
          <w:p w14:paraId="353C9FB2">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蛋白质纤维组成的网架结构</w:t>
            </w:r>
          </w:p>
        </w:tc>
        <w:tc>
          <w:tcPr>
            <w:tcW w:w="3323" w:type="dxa"/>
            <w:vAlign w:val="center"/>
          </w:tcPr>
          <w:p w14:paraId="3EAC7BE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细胞骨架</w:t>
            </w:r>
          </w:p>
        </w:tc>
        <w:tc>
          <w:tcPr>
            <w:tcW w:w="3323" w:type="dxa"/>
            <w:vAlign w:val="center"/>
          </w:tcPr>
          <w:p w14:paraId="1CC32427">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维持细胞形态，与物质运输等生命活动相关</w:t>
            </w:r>
          </w:p>
        </w:tc>
      </w:tr>
      <w:tr w14:paraId="06A3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Align w:val="center"/>
          </w:tcPr>
          <w:p w14:paraId="2D7AB91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像三叶草的叶形</w:t>
            </w:r>
          </w:p>
        </w:tc>
        <w:tc>
          <w:tcPr>
            <w:tcW w:w="3323" w:type="dxa"/>
            <w:vAlign w:val="center"/>
          </w:tcPr>
          <w:p w14:paraId="595CDE9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tRNA</w:t>
            </w:r>
          </w:p>
        </w:tc>
        <w:tc>
          <w:tcPr>
            <w:tcW w:w="3323" w:type="dxa"/>
            <w:vAlign w:val="center"/>
          </w:tcPr>
          <w:p w14:paraId="1052493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cs="Times New Roman"/>
                <w:color w:val="FF0000"/>
                <w:vertAlign w:val="baseline"/>
                <w:lang w:val="en-US" w:eastAsia="zh-CN"/>
              </w:rPr>
            </w:pPr>
            <w:r>
              <w:rPr>
                <w:rFonts w:hint="eastAsia" w:ascii="Times New Roman" w:hAnsi="Times New Roman" w:cs="Times New Roman"/>
                <w:color w:val="FF0000"/>
                <w:vertAlign w:val="baseline"/>
                <w:lang w:val="en-US" w:eastAsia="zh-CN"/>
              </w:rPr>
              <w:t>转运氨基酸</w:t>
            </w:r>
          </w:p>
        </w:tc>
      </w:tr>
    </w:tbl>
    <w:p w14:paraId="0E7E180B">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 xml:space="preserve">解析：A：细胞内结合水的存在形式主要是与蛋白质、多糖等物质结合，这样水就失去流动性和溶解性，成为生物体的构成成分。结合水不具有运输作用，而自由水可以把营养物质运送到各个细胞，同时也把各个细胞在新陈代谢中产生的废物，运送到排泄器官或者直接排出体外，A符合题意。 </w:t>
      </w:r>
    </w:p>
    <w:p w14:paraId="0D8BCFFA">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 xml:space="preserve">B：内质网在分泌蛋白的运输过程中发挥重要作用，囊泡形成的囊泡与高尔基体融合，高尔基体膜形成的囊泡与细胞膜融合，将分泌蛋白分泌到细胞外，B不符合题意。 </w:t>
      </w:r>
    </w:p>
    <w:p w14:paraId="5E0F8B67">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 xml:space="preserve">C：细胞骨架是由蛋白质纤维组成的网架结构，维持着细胞的形态，锚定并支撑着许多细胞器，与细胞运动、分裂、分化以及物质运输、能量转化、信息传递等生命活动密切相关，C不符合题意。 </w:t>
      </w:r>
    </w:p>
    <w:p w14:paraId="0A496A16">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D：tRNA能转运氨基酸，D不符合题意。</w:t>
      </w:r>
    </w:p>
    <w:p w14:paraId="418BF0F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0396E5F2">
      <w:pPr>
        <w:shd w:val="clear" w:color="auto" w:fill="auto"/>
        <w:spacing w:line="360" w:lineRule="auto"/>
        <w:jc w:val="left"/>
        <w:textAlignment w:val="center"/>
        <w:rPr>
          <w:rFonts w:hint="eastAsia" w:ascii="宋体" w:hAnsi="宋体" w:eastAsia="宋体" w:cs="宋体"/>
          <w:sz w:val="21"/>
          <w:szCs w:val="21"/>
        </w:rPr>
      </w:pPr>
      <w:r>
        <w:rPr>
          <w:rFonts w:hint="default" w:ascii="Times New Roman" w:hAnsi="Times New Roman" w:cs="Times New Roman" w:eastAsiaTheme="majorEastAsia"/>
        </w:rPr>
        <w:t>1．</w:t>
      </w:r>
      <w:r>
        <w:rPr>
          <w:rFonts w:hint="eastAsia" w:ascii="宋体" w:hAnsi="宋体" w:eastAsia="宋体" w:cs="宋体"/>
          <w:sz w:val="21"/>
          <w:szCs w:val="21"/>
        </w:rPr>
        <w:t>电影《哪吒2》上映之后迅速火遍全球，其中，太乙真人用藕粉给哪吒和敖丙重塑肉身的情节可以说是电影的关键情节之一。现实中藕粉中除了含有淀粉、蛋白质以外，还含有钙、铁、磷以及多种维生素，具有养血益气、通便止泻、健脾开胃、清热等功效。下列叙述正确的是（　　）</w:t>
      </w:r>
    </w:p>
    <w:p w14:paraId="33637D65">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A．新鲜莲藕中含量最多的化合物是蛋白质</w:t>
      </w:r>
    </w:p>
    <w:p w14:paraId="5B799146">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B．“无糖”藕粉中含有的淀粉无甜味，糖尿病人可放心食用</w:t>
      </w:r>
    </w:p>
    <w:p w14:paraId="6F7D138F">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C．藕粉中所含蛋白质能被人体消化分解成氨基酸之后重新利用</w:t>
      </w:r>
    </w:p>
    <w:p w14:paraId="6EF3AFF6">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D．莲藕中含有的钙、铁、磷等大量元素主要以化合物的形式存在</w:t>
      </w:r>
    </w:p>
    <w:p w14:paraId="4C1287B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eastAsia" w:ascii="Times New Roman" w:hAnsi="Times New Roman" w:eastAsia="宋体" w:cs="Times New Roman"/>
          <w:b/>
          <w:bCs/>
          <w:color w:val="FF0000"/>
        </w:rPr>
      </w:pPr>
      <w:r>
        <w:rPr>
          <w:rFonts w:hint="eastAsia" w:ascii="Times New Roman" w:hAnsi="Times New Roman" w:eastAsia="宋体" w:cs="Times New Roman"/>
          <w:b/>
          <w:bCs/>
          <w:color w:val="FF0000"/>
        </w:rPr>
        <w:t>【答案】C</w:t>
      </w:r>
    </w:p>
    <w:p w14:paraId="3A0F1E9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新鲜莲藕中含量最多的化合物是水，A错误；淀粉虽无甜味，但属于多糖，会水解成葡萄糖被吸收，糖尿病人不能食用，B错误；藕粉中所含蛋白质能被人体消化分解成氨基酸被吸收，在人体内重新利用，C正确；铁属于微量元素，D错误。</w:t>
      </w:r>
    </w:p>
    <w:p w14:paraId="3E7CBC8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6" w:firstLineChars="202"/>
        <w:contextualSpacing/>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3355"/>
        <w:gridCol w:w="4075"/>
      </w:tblGrid>
      <w:tr w14:paraId="4427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14:paraId="4138A942">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3355" w:type="dxa"/>
            <w:vAlign w:val="center"/>
          </w:tcPr>
          <w:p w14:paraId="44B9B067">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4075" w:type="dxa"/>
            <w:vAlign w:val="center"/>
          </w:tcPr>
          <w:p w14:paraId="24E77F70">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理由</w:t>
            </w:r>
          </w:p>
        </w:tc>
      </w:tr>
      <w:tr w14:paraId="0B8D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14:paraId="056C67B5">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3355" w:type="dxa"/>
            <w:vAlign w:val="center"/>
          </w:tcPr>
          <w:p w14:paraId="5BF43F5E">
            <w:pPr>
              <w:shd w:val="clear" w:color="auto" w:fill="auto"/>
              <w:spacing w:line="360" w:lineRule="auto"/>
              <w:ind w:left="300"/>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新鲜莲藕中含量最多的化合物</w:t>
            </w:r>
          </w:p>
        </w:tc>
        <w:tc>
          <w:tcPr>
            <w:tcW w:w="4075" w:type="dxa"/>
            <w:vAlign w:val="center"/>
          </w:tcPr>
          <w:p w14:paraId="032DE234">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水是含量最多的化合物，不是蛋白质</w:t>
            </w:r>
          </w:p>
        </w:tc>
      </w:tr>
      <w:tr w14:paraId="797E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14:paraId="711A25A0">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3355" w:type="dxa"/>
            <w:vAlign w:val="center"/>
          </w:tcPr>
          <w:p w14:paraId="2BAC6DC6">
            <w:pPr>
              <w:shd w:val="clear" w:color="auto" w:fill="auto"/>
              <w:spacing w:line="360" w:lineRule="auto"/>
              <w:ind w:left="300"/>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“无糖”藕粉中的淀粉</w:t>
            </w:r>
          </w:p>
        </w:tc>
        <w:tc>
          <w:tcPr>
            <w:tcW w:w="4075" w:type="dxa"/>
            <w:vAlign w:val="center"/>
          </w:tcPr>
          <w:p w14:paraId="236AD39C">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淀粉消化后成葡萄糖，糖尿病人应避免</w:t>
            </w:r>
          </w:p>
        </w:tc>
      </w:tr>
      <w:tr w14:paraId="017F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14:paraId="5F7B4610">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3355" w:type="dxa"/>
            <w:vAlign w:val="center"/>
          </w:tcPr>
          <w:p w14:paraId="4DCF8137">
            <w:pPr>
              <w:shd w:val="clear" w:color="auto" w:fill="auto"/>
              <w:spacing w:line="360" w:lineRule="auto"/>
              <w:ind w:left="300"/>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蛋白质消化</w:t>
            </w:r>
          </w:p>
        </w:tc>
        <w:tc>
          <w:tcPr>
            <w:tcW w:w="4075" w:type="dxa"/>
            <w:vAlign w:val="center"/>
          </w:tcPr>
          <w:p w14:paraId="4B0B498E">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蛋白质被分解成氨基酸，被人体重新利用</w:t>
            </w:r>
          </w:p>
        </w:tc>
      </w:tr>
      <w:tr w14:paraId="5AF0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14:paraId="182DCE5D">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3355" w:type="dxa"/>
            <w:vAlign w:val="center"/>
          </w:tcPr>
          <w:p w14:paraId="65B7C58E">
            <w:pPr>
              <w:shd w:val="clear" w:color="auto" w:fill="auto"/>
              <w:spacing w:line="360" w:lineRule="auto"/>
              <w:ind w:left="300"/>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钙、铁、磷元素</w:t>
            </w:r>
          </w:p>
        </w:tc>
        <w:tc>
          <w:tcPr>
            <w:tcW w:w="4075" w:type="dxa"/>
            <w:vAlign w:val="center"/>
          </w:tcPr>
          <w:p w14:paraId="1B605F8A">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铁是微量元素，不是大量元素</w:t>
            </w:r>
          </w:p>
        </w:tc>
      </w:tr>
    </w:tbl>
    <w:p w14:paraId="1ED1D65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6" w:firstLineChars="202"/>
        <w:contextualSpacing/>
        <w:textAlignment w:val="center"/>
        <w:rPr>
          <w:rFonts w:hint="default" w:ascii="Times New Roman" w:hAnsi="Times New Roman" w:eastAsia="宋体" w:cs="Times New Roman"/>
          <w:b/>
          <w:bCs/>
          <w:color w:val="FF0000"/>
          <w:lang w:val="en-US" w:eastAsia="zh-CN"/>
        </w:rPr>
      </w:pPr>
    </w:p>
    <w:p w14:paraId="5F83256A">
      <w:pPr>
        <w:shd w:val="clear" w:color="auto" w:fill="auto"/>
        <w:spacing w:line="360" w:lineRule="auto"/>
        <w:jc w:val="left"/>
        <w:textAlignment w:val="center"/>
        <w:rPr>
          <w:rFonts w:hint="eastAsia" w:ascii="宋体" w:hAnsi="宋体" w:eastAsia="宋体" w:cs="宋体"/>
          <w:sz w:val="21"/>
          <w:szCs w:val="21"/>
        </w:rPr>
      </w:pPr>
      <w:r>
        <w:rPr>
          <w:rFonts w:hint="default" w:ascii="Times New Roman" w:hAnsi="Times New Roman" w:cs="Times New Roman" w:eastAsiaTheme="majorEastAsia"/>
        </w:rPr>
        <w:t>2．</w:t>
      </w:r>
      <w:r>
        <w:rPr>
          <w:rFonts w:hint="eastAsia" w:ascii="宋体" w:hAnsi="宋体" w:eastAsia="宋体" w:cs="宋体"/>
          <w:sz w:val="21"/>
          <w:szCs w:val="21"/>
        </w:rPr>
        <w:t>四川火锅的起源可以追溯到清朝末年，火锅的流行与四川的地理环境和气候条件密切相关。四川红汤火锅以其鲜红的辣椒和花椒为特色，汤底浓郁，味道麻辣鲜香。火锅的食材种类繁多，从常见的肉类、海鲜到各种蔬菜、豆制品，几乎无所不包。其中，毛肚、黄喉、鸭肠和脑花是四川火锅的经典食材。相关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6CE182D7">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A．红油火锅中的植物脂肪富含饱和脂肪酸，熔点较高，在室温时呈液态</w:t>
      </w:r>
    </w:p>
    <w:p w14:paraId="79D0CADF">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B．脑花中含量丰富的磷脂是构成细胞膜、核膜和核糖体、线粒体等细胞器膜的重要成分</w:t>
      </w:r>
    </w:p>
    <w:p w14:paraId="474E6A94">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C．火锅食材中的蛋白质、纤维素、淀粉等都是以碳链为基本骨架的生物大分子</w:t>
      </w:r>
    </w:p>
    <w:p w14:paraId="0E80F2BD">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D．涮牛肉的过程中高温使蛋白质中的肽键、二硫键等断裂，空间结构变得伸展、松散</w:t>
      </w:r>
    </w:p>
    <w:p w14:paraId="2F92562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eastAsia" w:ascii="Times New Roman" w:hAnsi="Times New Roman" w:eastAsia="宋体" w:cs="Times New Roman"/>
          <w:b/>
          <w:bCs/>
          <w:color w:val="FF0000"/>
        </w:rPr>
      </w:pPr>
      <w:r>
        <w:rPr>
          <w:rFonts w:hint="eastAsia" w:ascii="Times New Roman" w:hAnsi="Times New Roman" w:eastAsia="宋体" w:cs="Times New Roman"/>
          <w:b/>
          <w:bCs/>
          <w:color w:val="FF0000"/>
        </w:rPr>
        <w:t>【答案】C</w:t>
      </w:r>
    </w:p>
    <w:p w14:paraId="3EE4DC4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植物脂肪通常含较多不饱和脂肪酸，其熔点较低，室温下呈液态；而饱和脂肪酸熔点较高，常见于动物脂肪，A错误；核糖体由rRNA和蛋白质构成，无膜结构，因此磷脂不参与核糖体结构的组成，B错误；蛋白质的单体是氨基酸，纤维素和淀粉的单体是葡萄糖，三者均为以碳链为骨架的生物大分子，C正确；</w:t>
      </w:r>
    </w:p>
    <w:p w14:paraId="05C9B1DC">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高温破坏蛋白质的空间结构（如氢键、二硫键），但肽键未被断裂，需水解酶催化才能分解，D错误。</w:t>
      </w:r>
    </w:p>
    <w:p w14:paraId="7D3E9C7A">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90"/>
        <w:gridCol w:w="6360"/>
      </w:tblGrid>
      <w:tr w14:paraId="2AA2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952101F">
            <w:pPr>
              <w:shd w:val="clear" w:color="auto" w:fill="auto"/>
              <w:spacing w:line="360" w:lineRule="auto"/>
              <w:jc w:val="both"/>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1990" w:type="dxa"/>
            <w:vAlign w:val="center"/>
          </w:tcPr>
          <w:p w14:paraId="79C627FD">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6360" w:type="dxa"/>
            <w:vAlign w:val="center"/>
          </w:tcPr>
          <w:p w14:paraId="4EC5414E">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关键点解析与易错提醒</w:t>
            </w:r>
          </w:p>
        </w:tc>
      </w:tr>
      <w:tr w14:paraId="18C7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093F060">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1990" w:type="dxa"/>
            <w:vAlign w:val="center"/>
          </w:tcPr>
          <w:p w14:paraId="14DA40EC">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脂质种类与性质</w:t>
            </w:r>
          </w:p>
        </w:tc>
        <w:tc>
          <w:tcPr>
            <w:tcW w:w="6360" w:type="dxa"/>
            <w:vAlign w:val="center"/>
          </w:tcPr>
          <w:p w14:paraId="0A3168F7">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辨析饱和 vs. 不饱和脂肪酸：</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饱和脂肪酸（多来自动物脂肪）：熔点高，室温常呈固态。</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不饱和脂肪酸（多来自植物脂肪）：熔点低，室温常呈液态。</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红油火锅为植物油脂，室温液态，故描述矛盾。</w:t>
            </w:r>
          </w:p>
        </w:tc>
      </w:tr>
      <w:tr w14:paraId="7B17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AA7E5C8">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1990" w:type="dxa"/>
            <w:vAlign w:val="center"/>
          </w:tcPr>
          <w:p w14:paraId="20EFC5AE">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磷脂的功能</w:t>
            </w:r>
          </w:p>
        </w:tc>
        <w:tc>
          <w:tcPr>
            <w:tcW w:w="6360" w:type="dxa"/>
            <w:vAlign w:val="center"/>
          </w:tcPr>
          <w:p w14:paraId="2EEE1B87">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辨析有膜 vs. 无膜细胞器：</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磷脂是生物膜（如细胞膜、细胞器膜）的基本骨架。</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核糖体是无膜结构的细胞器，由rRNA和蛋白质构成。</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将“核糖体”包含在内是知识性错误。</w:t>
            </w:r>
          </w:p>
        </w:tc>
      </w:tr>
      <w:tr w14:paraId="73F8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CF50D8E">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1990" w:type="dxa"/>
            <w:vAlign w:val="center"/>
          </w:tcPr>
          <w:p w14:paraId="0C6A9DEC">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生物大分子</w:t>
            </w:r>
          </w:p>
        </w:tc>
        <w:tc>
          <w:tcPr>
            <w:tcW w:w="6360" w:type="dxa"/>
            <w:vAlign w:val="center"/>
          </w:tcPr>
          <w:p w14:paraId="2D7C0DD1">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掌握生物大分子的共同点：</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蛋白质（单体：氨基酸）、淀粉/纤维素（单体：葡萄糖）都属于生物大分子。</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所有有机大分子都以碳链为基本骨架。</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表述完全正确。</w:t>
            </w:r>
          </w:p>
        </w:tc>
      </w:tr>
      <w:tr w14:paraId="1193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7167C25">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1990" w:type="dxa"/>
            <w:vAlign w:val="center"/>
          </w:tcPr>
          <w:p w14:paraId="34DDD9DA">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蛋白质变性 vs. 水解</w:t>
            </w:r>
          </w:p>
        </w:tc>
        <w:tc>
          <w:tcPr>
            <w:tcW w:w="6360" w:type="dxa"/>
            <w:vAlign w:val="center"/>
          </w:tcPr>
          <w:p w14:paraId="00F7ED22">
            <w:pPr>
              <w:shd w:val="clear" w:color="auto" w:fill="auto"/>
              <w:spacing w:line="360" w:lineRule="auto"/>
              <w:jc w:val="left"/>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辨析化学键的破坏方式：</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高温变性：破坏维持空间结构的氢键、二硫键等，肽键不断裂。</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水解（需酶或强酸强碱）：破坏肽键，使蛋白质分解。</w:t>
            </w:r>
            <w:r>
              <w:rPr>
                <w:rFonts w:hint="default" w:ascii="宋体" w:hAnsi="宋体" w:eastAsia="宋体" w:cs="宋体"/>
                <w:sz w:val="21"/>
                <w:szCs w:val="21"/>
                <w:lang w:val="en-US" w:eastAsia="zh-CN"/>
              </w:rPr>
              <w:br w:type="textWrapping"/>
            </w:r>
            <w:r>
              <w:rPr>
                <w:rFonts w:hint="default" w:ascii="宋体" w:hAnsi="宋体" w:eastAsia="宋体" w:cs="宋体"/>
                <w:sz w:val="21"/>
                <w:szCs w:val="21"/>
                <w:lang w:val="en-US" w:eastAsia="zh-CN"/>
              </w:rPr>
              <w:t>→ “涮煮”的高温仅导致变性，而非水解。</w:t>
            </w:r>
          </w:p>
        </w:tc>
      </w:tr>
    </w:tbl>
    <w:p w14:paraId="670BDBAD">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3</w:t>
      </w:r>
      <w:r>
        <w:rPr>
          <w:rFonts w:hint="default" w:ascii="Times New Roman" w:hAnsi="Times New Roman" w:cs="Times New Roman" w:eastAsiaTheme="majorEastAsia"/>
          <w:lang w:val="en-US" w:eastAsia="zh-CN"/>
        </w:rPr>
        <w:t>．“白日不到处，青春恰自来。苔花如米小，也学牡丹开。”结合核酸知识分析，下列关于苔藓和牡丹的叙述，正确的是（    ）</w:t>
      </w:r>
    </w:p>
    <w:p w14:paraId="742BB2A3">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A．苔藓与牡丹都只含DNA，不含RNA</w:t>
      </w:r>
    </w:p>
    <w:p w14:paraId="4585F21E">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B．病毒核酸的元素组成与苔藓的相同，与牡丹的不同</w:t>
      </w:r>
    </w:p>
    <w:p w14:paraId="7FA4D308">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C．DNA和RNA的成分的主要区别是五碳糖和碱基的种类都有差异</w:t>
      </w:r>
    </w:p>
    <w:p w14:paraId="25AD67AC">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D．苔藓与牡丹的遗传信息都储存在核糖核苷酸的排列顺序中</w:t>
      </w:r>
    </w:p>
    <w:p w14:paraId="68673048">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【答案】C</w:t>
      </w:r>
    </w:p>
    <w:p w14:paraId="2E9A92C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解析】苔藓和牡丹均为真核生物，细胞中同时含有DNA和RNA，A错误；病毒核酸为DNA或RNA，元素组成为C、H、O、N、P；苔藓和牡丹的核酸（DNA和RNA）元素组成也为C、H、O、N、P，B错误；DNA与RNA组成成分的主要区别是五碳糖（DNA含有脱氧核糖，RNA含有核糖）和碱基（DNA含T，RNA含U）不同，C正确；苔藓与牡丹的遗传物质均是DNA，故苔藓与牡丹的遗传信息都储存在脱氧核糖核苷酸的排列顺序中，D错误。</w:t>
      </w:r>
    </w:p>
    <w:p w14:paraId="07D7FA3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00"/>
        <w:gridCol w:w="6540"/>
      </w:tblGrid>
      <w:tr w14:paraId="308D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C6F4318">
            <w:pPr>
              <w:shd w:val="clear" w:color="auto" w:fill="auto"/>
              <w:spacing w:line="360" w:lineRule="auto"/>
              <w:jc w:val="both"/>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2100" w:type="dxa"/>
            <w:vAlign w:val="center"/>
          </w:tcPr>
          <w:p w14:paraId="1048942C">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6540" w:type="dxa"/>
            <w:vAlign w:val="center"/>
          </w:tcPr>
          <w:p w14:paraId="54A4697E">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关键点解析与易错提醒</w:t>
            </w:r>
          </w:p>
        </w:tc>
      </w:tr>
      <w:tr w14:paraId="064F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59F403B">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2100" w:type="dxa"/>
            <w:vAlign w:val="center"/>
          </w:tcPr>
          <w:p w14:paraId="21E9EF8C">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核酸的分布</w:t>
            </w:r>
          </w:p>
        </w:tc>
        <w:tc>
          <w:tcPr>
            <w:tcW w:w="6540" w:type="dxa"/>
            <w:vAlign w:val="center"/>
          </w:tcPr>
          <w:p w14:paraId="56D72BFE">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明确生物类型与核酸组成：</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具有细胞结构的生物（包括真核生物苔藓、牡丹和原核生物）都同时含有DNA和RNA两种核酸。</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病毒只含有一种核酸，DNA或RNA。</w:t>
            </w:r>
          </w:p>
        </w:tc>
      </w:tr>
      <w:tr w14:paraId="17BE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C0244FB">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2100" w:type="dxa"/>
            <w:vAlign w:val="center"/>
          </w:tcPr>
          <w:p w14:paraId="3591FBF3">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核酸的元素组成</w:t>
            </w:r>
          </w:p>
        </w:tc>
        <w:tc>
          <w:tcPr>
            <w:tcW w:w="6540" w:type="dxa"/>
            <w:vAlign w:val="center"/>
          </w:tcPr>
          <w:p w14:paraId="7987B708">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抓住共性：</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所有核酸（包括DNA、RNA以及病毒的核酸）的元素组成完全相同，都是C、H、O、N、P。</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不存在因生物种类不同而导致核酸元素组成不同的情况。</w:t>
            </w:r>
          </w:p>
        </w:tc>
      </w:tr>
      <w:tr w14:paraId="6711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647E691">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2100" w:type="dxa"/>
            <w:vAlign w:val="center"/>
          </w:tcPr>
          <w:p w14:paraId="0D209B3C">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DNA与RNA的区别</w:t>
            </w:r>
          </w:p>
        </w:tc>
        <w:tc>
          <w:tcPr>
            <w:tcW w:w="6540" w:type="dxa"/>
            <w:vAlign w:val="center"/>
          </w:tcPr>
          <w:p w14:paraId="3DCA9D37">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准确记忆化学组成差异：</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五碳糖不同：DNA为脱氧核糖，RNA为核糖。</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碱基有差异：DNA含T（胸腺嘧啶），RNA含U（尿嘧啶）；A、G、C为两者共有。</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此选项是对二者成分差异最准确的描述。</w:t>
            </w:r>
          </w:p>
        </w:tc>
      </w:tr>
      <w:tr w14:paraId="0206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3AADF833">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2100" w:type="dxa"/>
            <w:vAlign w:val="center"/>
          </w:tcPr>
          <w:p w14:paraId="310BC450">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遗传信息的载体</w:t>
            </w:r>
          </w:p>
        </w:tc>
        <w:tc>
          <w:tcPr>
            <w:tcW w:w="6540" w:type="dxa"/>
            <w:vAlign w:val="center"/>
          </w:tcPr>
          <w:p w14:paraId="01970813">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区分遗传物质与遗传信息：</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凡有细胞结构的生物，其遗传物质都是DNA。</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遗传信息就储存在DNA分子中脱氧核糖核苷酸（或称脱氧核苷酸）的排列顺序中。</w:t>
            </w:r>
            <w:r>
              <w:rPr>
                <w:rFonts w:hint="default" w:ascii="Times New Roman" w:hAnsi="Times New Roman" w:cs="Times New Roman" w:eastAsiaTheme="majorEastAsia"/>
                <w:lang w:val="en-US" w:eastAsia="zh-CN"/>
              </w:rPr>
              <w:br w:type="textWrapping"/>
            </w:r>
            <w:r>
              <w:rPr>
                <w:rFonts w:hint="default" w:ascii="Times New Roman" w:hAnsi="Times New Roman" w:cs="Times New Roman" w:eastAsiaTheme="majorEastAsia"/>
                <w:lang w:val="en-US" w:eastAsia="zh-CN"/>
              </w:rPr>
              <w:t>• “核糖核苷酸”是RNA的组成单位。</w:t>
            </w:r>
          </w:p>
        </w:tc>
      </w:tr>
    </w:tbl>
    <w:p w14:paraId="74E2D3C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p>
    <w:p w14:paraId="68DB58F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2" name="图片 1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2</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通过蛋白质合成过程，理解细胞结构的分工协作</w:t>
      </w:r>
    </w:p>
    <w:p w14:paraId="70EBE70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3" name="图片 1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AC96A6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0"/>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660"/>
        <w:gridCol w:w="6910"/>
      </w:tblGrid>
      <w:tr w14:paraId="5F6A86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FABF8F" w:themeFill="accent6" w:themeFillTint="99"/>
            <w:vAlign w:val="center"/>
          </w:tcPr>
          <w:p w14:paraId="42DC4F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方法</w:t>
            </w:r>
          </w:p>
        </w:tc>
        <w:tc>
          <w:tcPr>
            <w:tcW w:w="6910" w:type="dxa"/>
            <w:tcBorders>
              <w:tl2br w:val="nil"/>
              <w:tr2bl w:val="nil"/>
            </w:tcBorders>
            <w:shd w:val="clear" w:color="auto" w:fill="FABF8F" w:themeFill="accent6" w:themeFillTint="99"/>
            <w:vAlign w:val="center"/>
          </w:tcPr>
          <w:p w14:paraId="4C970D5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内容</w:t>
            </w:r>
          </w:p>
        </w:tc>
      </w:tr>
      <w:tr w14:paraId="0DC4D9D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43271D6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线索追踪法</w:t>
            </w:r>
          </w:p>
        </w:tc>
        <w:tc>
          <w:tcPr>
            <w:tcW w:w="6910" w:type="dxa"/>
            <w:tcBorders>
              <w:tl2br w:val="nil"/>
              <w:tr2bl w:val="nil"/>
            </w:tcBorders>
            <w:vAlign w:val="center"/>
          </w:tcPr>
          <w:p w14:paraId="0A905F2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以分泌蛋白为“追踪对象”，从基因指导合成到分泌到细胞外，全程标记经过的“车间”（细胞器）和“运输工具”（囊泡），形成完整路径链。</w:t>
            </w:r>
          </w:p>
        </w:tc>
      </w:tr>
      <w:tr w14:paraId="49361BB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D822C1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角色定位法</w:t>
            </w:r>
          </w:p>
        </w:tc>
        <w:tc>
          <w:tcPr>
            <w:tcW w:w="6910" w:type="dxa"/>
            <w:tcBorders>
              <w:tl2br w:val="nil"/>
              <w:tr2bl w:val="nil"/>
            </w:tcBorders>
            <w:vAlign w:val="center"/>
          </w:tcPr>
          <w:p w14:paraId="0B79873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为参与过程的每个细胞结构赋予明确“职能”，如“合成车间”“初加工车间”“动力车间”等，避免功能混淆。</w:t>
            </w:r>
          </w:p>
        </w:tc>
      </w:tr>
      <w:tr w14:paraId="35DB895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CA09F5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关键辨析法</w:t>
            </w:r>
          </w:p>
        </w:tc>
        <w:tc>
          <w:tcPr>
            <w:tcW w:w="6910" w:type="dxa"/>
            <w:tcBorders>
              <w:tl2br w:val="nil"/>
              <w:tr2bl w:val="nil"/>
            </w:tcBorders>
            <w:vAlign w:val="center"/>
          </w:tcPr>
          <w:p w14:paraId="186FEC84">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聚焦易混点（如游离核糖体vs附着核糖体、内质网加工vs高尔基体加工），通过“功能场景”精准区分。</w:t>
            </w:r>
          </w:p>
        </w:tc>
      </w:tr>
    </w:tbl>
    <w:p w14:paraId="79E3889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5F8158C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6DAD3EE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以“分泌蛋白合成运输”为典型案例，构建“结构→功能→协作”三维思维框架，具体如下：</w:t>
      </w:r>
    </w:p>
    <w:p w14:paraId="247B4F7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（1）参与结构及核心职能</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780"/>
        <w:gridCol w:w="2940"/>
        <w:gridCol w:w="4880"/>
      </w:tblGrid>
      <w:tr w14:paraId="764E938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ABF8F" w:themeFill="accent6" w:themeFillTint="99"/>
            <w:tcMar>
              <w:top w:w="60" w:type="dxa"/>
              <w:left w:w="120" w:type="dxa"/>
              <w:bottom w:w="30" w:type="dxa"/>
              <w:right w:w="120" w:type="dxa"/>
            </w:tcMar>
            <w:vAlign w:val="center"/>
          </w:tcPr>
          <w:p w14:paraId="6F0E38C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细胞结构</w:t>
            </w:r>
          </w:p>
        </w:tc>
        <w:tc>
          <w:tcPr>
            <w:tcW w:w="2940" w:type="dxa"/>
            <w:tcBorders>
              <w:tl2br w:val="nil"/>
              <w:tr2bl w:val="nil"/>
            </w:tcBorders>
            <w:shd w:val="clear" w:color="auto" w:fill="FABF8F" w:themeFill="accent6" w:themeFillTint="99"/>
            <w:tcMar>
              <w:top w:w="60" w:type="dxa"/>
              <w:left w:w="120" w:type="dxa"/>
              <w:bottom w:w="30" w:type="dxa"/>
              <w:right w:w="120" w:type="dxa"/>
            </w:tcMar>
            <w:vAlign w:val="center"/>
          </w:tcPr>
          <w:p w14:paraId="43A23F3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核心角色</w:t>
            </w:r>
          </w:p>
        </w:tc>
        <w:tc>
          <w:tcPr>
            <w:tcW w:w="4880" w:type="dxa"/>
            <w:tcBorders>
              <w:tl2br w:val="nil"/>
              <w:tr2bl w:val="nil"/>
            </w:tcBorders>
            <w:shd w:val="clear" w:color="auto" w:fill="FABF8F" w:themeFill="accent6" w:themeFillTint="99"/>
            <w:tcMar>
              <w:top w:w="60" w:type="dxa"/>
              <w:left w:w="120" w:type="dxa"/>
              <w:bottom w:w="30" w:type="dxa"/>
              <w:right w:w="120" w:type="dxa"/>
            </w:tcMar>
            <w:vAlign w:val="center"/>
          </w:tcPr>
          <w:p w14:paraId="38744BE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具体功能</w:t>
            </w:r>
          </w:p>
        </w:tc>
      </w:tr>
      <w:tr w14:paraId="0787785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144621D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细胞核</w:t>
            </w:r>
          </w:p>
        </w:tc>
        <w:tc>
          <w:tcPr>
            <w:tcW w:w="2940" w:type="dxa"/>
            <w:tcBorders>
              <w:tl2br w:val="nil"/>
              <w:tr2bl w:val="nil"/>
            </w:tcBorders>
            <w:shd w:val="clear" w:color="auto" w:fill="FFFFFF"/>
            <w:tcMar>
              <w:top w:w="60" w:type="dxa"/>
              <w:left w:w="120" w:type="dxa"/>
              <w:bottom w:w="30" w:type="dxa"/>
              <w:right w:w="120" w:type="dxa"/>
            </w:tcMar>
            <w:vAlign w:val="center"/>
          </w:tcPr>
          <w:p w14:paraId="427B7DB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指挥中心</w:t>
            </w:r>
          </w:p>
        </w:tc>
        <w:tc>
          <w:tcPr>
            <w:tcW w:w="4880" w:type="dxa"/>
            <w:tcBorders>
              <w:tl2br w:val="nil"/>
              <w:tr2bl w:val="nil"/>
            </w:tcBorders>
            <w:shd w:val="clear" w:color="auto" w:fill="FFFFFF"/>
            <w:tcMar>
              <w:top w:w="60" w:type="dxa"/>
              <w:left w:w="120" w:type="dxa"/>
              <w:bottom w:w="30" w:type="dxa"/>
              <w:right w:w="120" w:type="dxa"/>
            </w:tcMar>
            <w:vAlign w:val="center"/>
          </w:tcPr>
          <w:p w14:paraId="1BE942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通过转录合成mRNA，提供蛋白质合成的“蓝图”</w:t>
            </w:r>
          </w:p>
        </w:tc>
      </w:tr>
      <w:tr w14:paraId="271F442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02A65D8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核糖体（附着型）</w:t>
            </w:r>
          </w:p>
        </w:tc>
        <w:tc>
          <w:tcPr>
            <w:tcW w:w="2940" w:type="dxa"/>
            <w:tcBorders>
              <w:tl2br w:val="nil"/>
              <w:tr2bl w:val="nil"/>
            </w:tcBorders>
            <w:shd w:val="clear" w:color="auto" w:fill="FFFFFF"/>
            <w:tcMar>
              <w:top w:w="60" w:type="dxa"/>
              <w:left w:w="120" w:type="dxa"/>
              <w:bottom w:w="30" w:type="dxa"/>
              <w:right w:w="120" w:type="dxa"/>
            </w:tcMar>
            <w:vAlign w:val="center"/>
          </w:tcPr>
          <w:p w14:paraId="1CFE709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合成车间</w:t>
            </w:r>
          </w:p>
        </w:tc>
        <w:tc>
          <w:tcPr>
            <w:tcW w:w="4880" w:type="dxa"/>
            <w:tcBorders>
              <w:tl2br w:val="nil"/>
              <w:tr2bl w:val="nil"/>
            </w:tcBorders>
            <w:shd w:val="clear" w:color="auto" w:fill="FFFFFF"/>
            <w:tcMar>
              <w:top w:w="60" w:type="dxa"/>
              <w:left w:w="120" w:type="dxa"/>
              <w:bottom w:w="30" w:type="dxa"/>
              <w:right w:w="120" w:type="dxa"/>
            </w:tcMar>
            <w:vAlign w:val="center"/>
          </w:tcPr>
          <w:p w14:paraId="30F1EC0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结合mRNA，通过翻译合成分泌蛋白的初始肽链</w:t>
            </w:r>
          </w:p>
        </w:tc>
      </w:tr>
      <w:tr w14:paraId="7DBD1DD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0B04C8A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内质网</w:t>
            </w:r>
          </w:p>
        </w:tc>
        <w:tc>
          <w:tcPr>
            <w:tcW w:w="2940" w:type="dxa"/>
            <w:tcBorders>
              <w:tl2br w:val="nil"/>
              <w:tr2bl w:val="nil"/>
            </w:tcBorders>
            <w:shd w:val="clear" w:color="auto" w:fill="FFFFFF"/>
            <w:tcMar>
              <w:top w:w="60" w:type="dxa"/>
              <w:left w:w="120" w:type="dxa"/>
              <w:bottom w:w="30" w:type="dxa"/>
              <w:right w:w="120" w:type="dxa"/>
            </w:tcMar>
            <w:vAlign w:val="center"/>
          </w:tcPr>
          <w:p w14:paraId="66B4620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初加工车间+运输起点</w:t>
            </w:r>
          </w:p>
        </w:tc>
        <w:tc>
          <w:tcPr>
            <w:tcW w:w="4880" w:type="dxa"/>
            <w:tcBorders>
              <w:tl2br w:val="nil"/>
              <w:tr2bl w:val="nil"/>
            </w:tcBorders>
            <w:shd w:val="clear" w:color="auto" w:fill="FFFFFF"/>
            <w:tcMar>
              <w:top w:w="60" w:type="dxa"/>
              <w:left w:w="120" w:type="dxa"/>
              <w:bottom w:w="30" w:type="dxa"/>
              <w:right w:w="120" w:type="dxa"/>
            </w:tcMar>
            <w:vAlign w:val="center"/>
          </w:tcPr>
          <w:p w14:paraId="6E39AF6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对肽链进行折叠、组装、糖基化，形成有一定空间结构的蛋白质；通过囊泡将蛋白质运输至高尔基体</w:t>
            </w:r>
          </w:p>
        </w:tc>
      </w:tr>
      <w:tr w14:paraId="110A00D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41B8F15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高尔基体</w:t>
            </w:r>
          </w:p>
        </w:tc>
        <w:tc>
          <w:tcPr>
            <w:tcW w:w="2940" w:type="dxa"/>
            <w:tcBorders>
              <w:tl2br w:val="nil"/>
              <w:tr2bl w:val="nil"/>
            </w:tcBorders>
            <w:shd w:val="clear" w:color="auto" w:fill="FFFFFF"/>
            <w:tcMar>
              <w:top w:w="60" w:type="dxa"/>
              <w:left w:w="120" w:type="dxa"/>
              <w:bottom w:w="30" w:type="dxa"/>
              <w:right w:w="120" w:type="dxa"/>
            </w:tcMar>
            <w:vAlign w:val="center"/>
          </w:tcPr>
          <w:p w14:paraId="544E25E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精加工车间+分发中心</w:t>
            </w:r>
          </w:p>
        </w:tc>
        <w:tc>
          <w:tcPr>
            <w:tcW w:w="4880" w:type="dxa"/>
            <w:tcBorders>
              <w:tl2br w:val="nil"/>
              <w:tr2bl w:val="nil"/>
            </w:tcBorders>
            <w:shd w:val="clear" w:color="auto" w:fill="FFFFFF"/>
            <w:tcMar>
              <w:top w:w="60" w:type="dxa"/>
              <w:left w:w="120" w:type="dxa"/>
              <w:bottom w:w="30" w:type="dxa"/>
              <w:right w:w="120" w:type="dxa"/>
            </w:tcMar>
            <w:vAlign w:val="center"/>
          </w:tcPr>
          <w:p w14:paraId="19A298F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对蛋白质进一步修饰（如剪切、加糖链），分类、包装后通过囊泡发送至细胞膜</w:t>
            </w:r>
          </w:p>
        </w:tc>
      </w:tr>
      <w:tr w14:paraId="52F6150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34027AB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囊泡</w:t>
            </w:r>
          </w:p>
        </w:tc>
        <w:tc>
          <w:tcPr>
            <w:tcW w:w="2940" w:type="dxa"/>
            <w:tcBorders>
              <w:tl2br w:val="nil"/>
              <w:tr2bl w:val="nil"/>
            </w:tcBorders>
            <w:shd w:val="clear" w:color="auto" w:fill="FFFFFF"/>
            <w:tcMar>
              <w:top w:w="60" w:type="dxa"/>
              <w:left w:w="120" w:type="dxa"/>
              <w:bottom w:w="30" w:type="dxa"/>
              <w:right w:w="120" w:type="dxa"/>
            </w:tcMar>
            <w:vAlign w:val="center"/>
          </w:tcPr>
          <w:p w14:paraId="249A0D7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运输工具</w:t>
            </w:r>
          </w:p>
        </w:tc>
        <w:tc>
          <w:tcPr>
            <w:tcW w:w="4880" w:type="dxa"/>
            <w:tcBorders>
              <w:tl2br w:val="nil"/>
              <w:tr2bl w:val="nil"/>
            </w:tcBorders>
            <w:shd w:val="clear" w:color="auto" w:fill="FFFFFF"/>
            <w:tcMar>
              <w:top w:w="60" w:type="dxa"/>
              <w:left w:w="120" w:type="dxa"/>
              <w:bottom w:w="30" w:type="dxa"/>
              <w:right w:w="120" w:type="dxa"/>
            </w:tcMar>
            <w:vAlign w:val="center"/>
          </w:tcPr>
          <w:p w14:paraId="45AA7B1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连接内质网、高尔基体、细胞膜，实现蛋白质的定向运输</w:t>
            </w:r>
          </w:p>
        </w:tc>
      </w:tr>
      <w:tr w14:paraId="5C00FB90">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1262BF0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细胞膜</w:t>
            </w:r>
          </w:p>
        </w:tc>
        <w:tc>
          <w:tcPr>
            <w:tcW w:w="2940" w:type="dxa"/>
            <w:tcBorders>
              <w:tl2br w:val="nil"/>
              <w:tr2bl w:val="nil"/>
            </w:tcBorders>
            <w:shd w:val="clear" w:color="auto" w:fill="FFFFFF"/>
            <w:tcMar>
              <w:top w:w="60" w:type="dxa"/>
              <w:left w:w="120" w:type="dxa"/>
              <w:bottom w:w="30" w:type="dxa"/>
              <w:right w:w="120" w:type="dxa"/>
            </w:tcMar>
            <w:vAlign w:val="center"/>
          </w:tcPr>
          <w:p w14:paraId="04924CC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出口大门</w:t>
            </w:r>
          </w:p>
        </w:tc>
        <w:tc>
          <w:tcPr>
            <w:tcW w:w="4880" w:type="dxa"/>
            <w:tcBorders>
              <w:tl2br w:val="nil"/>
              <w:tr2bl w:val="nil"/>
            </w:tcBorders>
            <w:shd w:val="clear" w:color="auto" w:fill="FFFFFF"/>
            <w:tcMar>
              <w:top w:w="60" w:type="dxa"/>
              <w:left w:w="120" w:type="dxa"/>
              <w:bottom w:w="30" w:type="dxa"/>
              <w:right w:w="120" w:type="dxa"/>
            </w:tcMar>
            <w:vAlign w:val="center"/>
          </w:tcPr>
          <w:p w14:paraId="523B266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通过胞吐作用将囊泡中的分泌蛋白释放到细胞外</w:t>
            </w:r>
          </w:p>
        </w:tc>
      </w:tr>
      <w:tr w14:paraId="23AF3FB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337D3C4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线粒体</w:t>
            </w:r>
          </w:p>
        </w:tc>
        <w:tc>
          <w:tcPr>
            <w:tcW w:w="2940" w:type="dxa"/>
            <w:tcBorders>
              <w:tl2br w:val="nil"/>
              <w:tr2bl w:val="nil"/>
            </w:tcBorders>
            <w:shd w:val="clear" w:color="auto" w:fill="FFFFFF"/>
            <w:tcMar>
              <w:top w:w="60" w:type="dxa"/>
              <w:left w:w="120" w:type="dxa"/>
              <w:bottom w:w="30" w:type="dxa"/>
              <w:right w:w="120" w:type="dxa"/>
            </w:tcMar>
            <w:vAlign w:val="center"/>
          </w:tcPr>
          <w:p w14:paraId="26204C6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动力车间</w:t>
            </w:r>
          </w:p>
        </w:tc>
        <w:tc>
          <w:tcPr>
            <w:tcW w:w="4880" w:type="dxa"/>
            <w:tcBorders>
              <w:tl2br w:val="nil"/>
              <w:tr2bl w:val="nil"/>
            </w:tcBorders>
            <w:shd w:val="clear" w:color="auto" w:fill="FFFFFF"/>
            <w:tcMar>
              <w:top w:w="60" w:type="dxa"/>
              <w:left w:w="120" w:type="dxa"/>
              <w:bottom w:w="30" w:type="dxa"/>
              <w:right w:w="120" w:type="dxa"/>
            </w:tcMar>
            <w:vAlign w:val="center"/>
          </w:tcPr>
          <w:p w14:paraId="4B6F4B43">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全程提供ATP，为翻译、囊泡运输、胞吐等耗能过程供能</w:t>
            </w:r>
          </w:p>
        </w:tc>
      </w:tr>
    </w:tbl>
    <w:p w14:paraId="382A7667">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（2）动态协作流程</w:t>
      </w:r>
    </w:p>
    <w:p w14:paraId="0A8BD2D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细胞核（转录合成mRNA）→ mRNA通过核孔进入细胞质 → 核糖体（翻译合成肽链）→ 内质网（初加工）→ 囊泡1 → 高尔基体（精加工、分类包装）→ 囊泡2 → 细胞膜（胞吐）→ 细胞外</w:t>
      </w:r>
    </w:p>
    <w:p w14:paraId="6447FD0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【能量供应】线粒体全程供能</w:t>
      </w:r>
    </w:p>
    <w:p w14:paraId="7E8CCF6C">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szCs w:val="21"/>
          <w:lang w:val="en-US" w:eastAsia="zh-CN"/>
        </w:rPr>
        <w:t>关键易混点辨析</w:t>
      </w:r>
    </w:p>
    <w:tbl>
      <w:tblPr>
        <w:tblStyle w:val="10"/>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3210"/>
        <w:gridCol w:w="6360"/>
      </w:tblGrid>
      <w:tr w14:paraId="4F6FA53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shd w:val="clear" w:color="auto" w:fill="FABF8F" w:themeFill="accent6" w:themeFillTint="99"/>
            <w:vAlign w:val="center"/>
          </w:tcPr>
          <w:p w14:paraId="5C7C01E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对比</w:t>
            </w:r>
          </w:p>
        </w:tc>
        <w:tc>
          <w:tcPr>
            <w:tcW w:w="6360" w:type="dxa"/>
            <w:tcBorders>
              <w:tl2br w:val="nil"/>
              <w:tr2bl w:val="nil"/>
            </w:tcBorders>
            <w:shd w:val="clear" w:color="auto" w:fill="FABF8F" w:themeFill="accent6" w:themeFillTint="99"/>
            <w:vAlign w:val="center"/>
          </w:tcPr>
          <w:p w14:paraId="7ECAE98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内容</w:t>
            </w:r>
          </w:p>
        </w:tc>
      </w:tr>
      <w:tr w14:paraId="06343D7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1E75E81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游离核糖体vs附着核糖体</w:t>
            </w:r>
          </w:p>
        </w:tc>
        <w:tc>
          <w:tcPr>
            <w:tcW w:w="6360" w:type="dxa"/>
            <w:tcBorders>
              <w:tl2br w:val="nil"/>
              <w:tr2bl w:val="nil"/>
            </w:tcBorders>
            <w:vAlign w:val="center"/>
          </w:tcPr>
          <w:p w14:paraId="418DB93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游离核糖体合成“胞内蛋白”（如呼吸酶），附着核糖体合成“分泌蛋白”“膜蛋白”（如载体蛋白）；分泌蛋白合成初期先在游离核糖体起始，再转移到内质网上附着合成。</w:t>
            </w:r>
          </w:p>
        </w:tc>
      </w:tr>
      <w:tr w14:paraId="2D16E9F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10C5616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内质网vs高尔基体加工</w:t>
            </w:r>
          </w:p>
        </w:tc>
        <w:tc>
          <w:tcPr>
            <w:tcW w:w="6360" w:type="dxa"/>
            <w:tcBorders>
              <w:tl2br w:val="nil"/>
              <w:tr2bl w:val="nil"/>
            </w:tcBorders>
            <w:vAlign w:val="center"/>
          </w:tcPr>
          <w:p w14:paraId="502BB86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内质网侧重“肽链折叠、初步糖基化”，形成蛋白质基本空间结构；高尔基体侧重“进一步修饰、分类包装”，决定蛋白质的运输去向。</w:t>
            </w:r>
          </w:p>
        </w:tc>
      </w:tr>
      <w:tr w14:paraId="353E20B8">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376974D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膜结构转化</w:t>
            </w:r>
          </w:p>
        </w:tc>
        <w:tc>
          <w:tcPr>
            <w:tcW w:w="6360" w:type="dxa"/>
            <w:tcBorders>
              <w:tl2br w:val="nil"/>
              <w:tr2bl w:val="nil"/>
            </w:tcBorders>
            <w:vAlign w:val="center"/>
          </w:tcPr>
          <w:p w14:paraId="110E634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囊泡运输实现“内质网膜→高尔基体膜→细胞膜”的间接转化，体现生物膜系统的统一性。</w:t>
            </w:r>
          </w:p>
        </w:tc>
      </w:tr>
    </w:tbl>
    <w:p w14:paraId="5C3D04B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3. 答题模板</w:t>
      </w:r>
    </w:p>
    <w:p w14:paraId="3050459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当题目涉及“蛋白质合成与细胞器协作”时，按以下四步规范答题：</w:t>
      </w:r>
    </w:p>
    <w:tbl>
      <w:tblPr>
        <w:tblStyle w:val="10"/>
        <w:tblW w:w="0" w:type="auto"/>
        <w:tblInd w:w="26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240"/>
        <w:gridCol w:w="7360"/>
      </w:tblGrid>
      <w:tr w14:paraId="2B40225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shd w:val="clear" w:color="auto" w:fill="FABF8F" w:themeFill="accent6" w:themeFillTint="99"/>
            <w:vAlign w:val="center"/>
          </w:tcPr>
          <w:p w14:paraId="517BB0F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步骤</w:t>
            </w:r>
          </w:p>
        </w:tc>
        <w:tc>
          <w:tcPr>
            <w:tcW w:w="7360" w:type="dxa"/>
            <w:tcBorders>
              <w:tl2br w:val="nil"/>
              <w:tr2bl w:val="nil"/>
            </w:tcBorders>
            <w:shd w:val="clear" w:color="auto" w:fill="FABF8F" w:themeFill="accent6" w:themeFillTint="99"/>
            <w:vAlign w:val="center"/>
          </w:tcPr>
          <w:p w14:paraId="003A43C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0B9BD0B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66B76CE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第一步“</w:t>
            </w:r>
            <w:r>
              <w:rPr>
                <w:rFonts w:hint="default" w:ascii="Times New Roman" w:hAnsi="Times New Roman" w:cs="Times New Roman" w:eastAsiaTheme="majorEastAsia"/>
                <w:szCs w:val="21"/>
                <w:lang w:val="en-US" w:eastAsia="zh-CN"/>
              </w:rPr>
              <w:t>定类型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58DC0FC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明确蛋白质类型（分泌蛋白/胞内蛋白/膜蛋白</w:t>
            </w:r>
            <w:r>
              <w:rPr>
                <w:rFonts w:hint="eastAsia" w:ascii="Times New Roman" w:hAnsi="Times New Roman" w:cs="Times New Roman" w:eastAsiaTheme="majorEastAsia"/>
                <w:szCs w:val="21"/>
                <w:lang w:val="en-US" w:eastAsia="zh-CN"/>
              </w:rPr>
              <w:t>/溶酶体的酶</w:t>
            </w:r>
            <w:r>
              <w:rPr>
                <w:rFonts w:hint="default" w:ascii="Times New Roman" w:hAnsi="Times New Roman" w:cs="Times New Roman" w:eastAsiaTheme="majorEastAsia"/>
                <w:szCs w:val="21"/>
                <w:lang w:val="en-US" w:eastAsia="zh-CN"/>
              </w:rPr>
              <w:t>），判断核心路径（如分泌蛋白需经内质网-高尔基体加工）。</w:t>
            </w:r>
          </w:p>
        </w:tc>
      </w:tr>
      <w:tr w14:paraId="3C16528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2A30370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第二步“</w:t>
            </w:r>
            <w:r>
              <w:rPr>
                <w:rFonts w:hint="default" w:ascii="Times New Roman" w:hAnsi="Times New Roman" w:cs="Times New Roman" w:eastAsiaTheme="majorEastAsia"/>
                <w:szCs w:val="21"/>
                <w:lang w:val="en-US" w:eastAsia="zh-CN"/>
              </w:rPr>
              <w:t>列结构</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55DCB6A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根据蛋白质类型，罗列直接参与结构（如分泌蛋白涉及核糖体、内质网、高尔基体等）和间接参与结构（线粒体供能）。</w:t>
            </w:r>
          </w:p>
        </w:tc>
      </w:tr>
      <w:tr w14:paraId="5000FF97">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5FB38B7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第三步“</w:t>
            </w:r>
            <w:r>
              <w:rPr>
                <w:rFonts w:hint="default" w:ascii="Times New Roman" w:hAnsi="Times New Roman" w:cs="Times New Roman" w:eastAsiaTheme="majorEastAsia"/>
                <w:szCs w:val="21"/>
                <w:lang w:val="en-US" w:eastAsia="zh-CN"/>
              </w:rPr>
              <w:t>述流程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262DC06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用箭头或连贯语句描述协作过程，突出“合成→加工→运输→分泌”的顺序，注明能量来源。</w:t>
            </w:r>
          </w:p>
        </w:tc>
      </w:tr>
      <w:tr w14:paraId="687CCC0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68D19EC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第四步“</w:t>
            </w:r>
            <w:r>
              <w:rPr>
                <w:rFonts w:hint="default" w:ascii="Times New Roman" w:hAnsi="Times New Roman" w:cs="Times New Roman" w:eastAsiaTheme="majorEastAsia"/>
                <w:szCs w:val="21"/>
                <w:lang w:val="en-US" w:eastAsia="zh-CN"/>
              </w:rPr>
              <w:t>点核心</w:t>
            </w:r>
            <w:r>
              <w:rPr>
                <w:rFonts w:hint="eastAsia" w:ascii="Times New Roman" w:hAnsi="Times New Roman" w:cs="Times New Roman" w:eastAsiaTheme="majorEastAsia"/>
                <w:szCs w:val="21"/>
                <w:vertAlign w:val="baseline"/>
                <w:lang w:val="en-US" w:eastAsia="zh-CN"/>
              </w:rPr>
              <w:t>”</w:t>
            </w:r>
          </w:p>
        </w:tc>
        <w:tc>
          <w:tcPr>
            <w:tcW w:w="7360" w:type="dxa"/>
            <w:tcBorders>
              <w:tl2br w:val="nil"/>
              <w:tr2bl w:val="nil"/>
            </w:tcBorders>
            <w:vAlign w:val="center"/>
          </w:tcPr>
          <w:p w14:paraId="223AE68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总结体现的生物学观点——“细胞结构的分工与协作是生命活动高效进行的保障”“生物膜系统具有统一性”。</w:t>
            </w:r>
          </w:p>
        </w:tc>
      </w:tr>
    </w:tbl>
    <w:p w14:paraId="01DDE23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5588367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 name="图片 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51DD1D4F">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Times New Roman" w:hAnsi="Times New Roman" w:eastAsia="宋体" w:cs="Times New Roman"/>
          <w:b/>
          <w:bCs/>
          <w:color w:val="953735" w:themeColor="accent2" w:themeShade="BF"/>
          <w:lang w:val="en-US" w:eastAsia="zh-CN"/>
        </w:rPr>
        <w:t>（2025·广西·高考真题）</w:t>
      </w:r>
      <w:r>
        <w:rPr>
          <w:rFonts w:hint="eastAsia" w:ascii="宋体" w:hAnsi="宋体" w:eastAsia="宋体" w:cs="宋体"/>
          <w:sz w:val="21"/>
          <w:szCs w:val="21"/>
        </w:rPr>
        <w:t>在合成、加工及运输促性腺激素的过程中，需要垂体细胞内各种结构的协调配合。下列有关该过程的说法错误的是（　　）</w:t>
      </w:r>
    </w:p>
    <w:p w14:paraId="01F515F9">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A．合成场所位于核糖体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B．加工需要高尔基体</w:t>
      </w:r>
    </w:p>
    <w:p w14:paraId="2DCB264C">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C．运输依赖于细胞骨架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D．不需要线粒体参与</w:t>
      </w:r>
    </w:p>
    <w:p w14:paraId="1A73C67A">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【答案】D</w:t>
      </w:r>
    </w:p>
    <w:p w14:paraId="3FD43F7A">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FF0000"/>
          <w:sz w:val="21"/>
          <w:szCs w:val="21"/>
          <w:lang w:eastAsia="zh-CN"/>
        </w:rPr>
        <w:t>解析</w:t>
      </w:r>
      <w:r>
        <w:rPr>
          <w:rFonts w:hint="eastAsia" w:asciiTheme="minorEastAsia" w:hAnsiTheme="minorEastAsia" w:eastAsiaTheme="minorEastAsia" w:cstheme="minorEastAsia"/>
          <w:color w:val="FF0000"/>
          <w:sz w:val="21"/>
          <w:szCs w:val="21"/>
        </w:rPr>
        <w:t>】A、促性腺激素为蛋白质类激素，其合成场所是核糖体，A正确；</w:t>
      </w:r>
    </w:p>
    <w:p w14:paraId="170F9B45">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B、加工过程需内质网进行初步加工，再经高尔基体进一步修饰，B正确；</w:t>
      </w:r>
    </w:p>
    <w:p w14:paraId="7013F7B4">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C、运输过程中囊泡的移动依赖细胞骨架的协助，C正确；</w:t>
      </w:r>
    </w:p>
    <w:p w14:paraId="7C8443AC">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D、蛋白质合成、加工及运输均需消耗能量，能量主要由线粒体提供，因此需要线粒体参与，D错误；</w:t>
      </w:r>
    </w:p>
    <w:p w14:paraId="5068934D">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eastAsia" w:asciiTheme="minorEastAsia" w:hAnsiTheme="minorEastAsia" w:eastAsiaTheme="minorEastAsia" w:cstheme="minorEastAsia"/>
          <w:b/>
          <w:bCs/>
          <w:color w:val="FF0000"/>
          <w:lang w:val="en-US" w:eastAsia="zh-CN"/>
        </w:rPr>
      </w:pPr>
      <w:r>
        <w:rPr>
          <w:rFonts w:hint="eastAsia" w:asciiTheme="minorEastAsia" w:hAnsiTheme="minorEastAsia" w:eastAsiaTheme="minorEastAsia" w:cstheme="minorEastAsia"/>
          <w:b/>
          <w:bCs/>
          <w:color w:val="FF0000"/>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100"/>
        <w:gridCol w:w="7060"/>
      </w:tblGrid>
      <w:tr w14:paraId="0458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37E0DED8">
            <w:pPr>
              <w:shd w:val="clear" w:color="auto" w:fill="auto"/>
              <w:spacing w:line="360" w:lineRule="auto"/>
              <w:jc w:val="both"/>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2100" w:type="dxa"/>
            <w:vAlign w:val="center"/>
          </w:tcPr>
          <w:p w14:paraId="14A7D696">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7060" w:type="dxa"/>
            <w:vAlign w:val="center"/>
          </w:tcPr>
          <w:p w14:paraId="755BB00B">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关键点解析与易错提醒</w:t>
            </w:r>
          </w:p>
        </w:tc>
      </w:tr>
      <w:tr w14:paraId="14AE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51550BC9">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2100" w:type="dxa"/>
            <w:vAlign w:val="center"/>
          </w:tcPr>
          <w:p w14:paraId="0F8CA7F4">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促性腺激素的化学本质及合成场所</w:t>
            </w:r>
          </w:p>
        </w:tc>
        <w:tc>
          <w:tcPr>
            <w:tcW w:w="7060" w:type="dxa"/>
            <w:vAlign w:val="center"/>
          </w:tcPr>
          <w:p w14:paraId="103F7977">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促性腺激素属于蛋白质类激素，所有蛋白质的合成场所都是核糖体。</w:t>
            </w:r>
          </w:p>
        </w:tc>
      </w:tr>
      <w:tr w14:paraId="2E84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17AC8336">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2100" w:type="dxa"/>
            <w:vAlign w:val="center"/>
          </w:tcPr>
          <w:p w14:paraId="224A6F7D">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蛋白质加工过程中的细胞器</w:t>
            </w:r>
          </w:p>
        </w:tc>
        <w:tc>
          <w:tcPr>
            <w:tcW w:w="7060" w:type="dxa"/>
            <w:vAlign w:val="center"/>
          </w:tcPr>
          <w:p w14:paraId="02F4C38F">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蛋白质在核糖体合成后，需要在内质网进行初步加工，并在高尔基体进行进一步修饰和包装，因此加工需要高尔基体参与。</w:t>
            </w:r>
          </w:p>
        </w:tc>
      </w:tr>
      <w:tr w14:paraId="2B3A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499B4565">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2100" w:type="dxa"/>
            <w:vAlign w:val="center"/>
          </w:tcPr>
          <w:p w14:paraId="0019604F">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细胞内物质运输的依赖结构</w:t>
            </w:r>
          </w:p>
        </w:tc>
        <w:tc>
          <w:tcPr>
            <w:tcW w:w="7060" w:type="dxa"/>
            <w:vAlign w:val="center"/>
          </w:tcPr>
          <w:p w14:paraId="1335B756">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细胞骨架（如微管）为囊泡的运输提供轨道和动力，因此激素的运输依赖于细胞骨架。</w:t>
            </w:r>
          </w:p>
        </w:tc>
      </w:tr>
      <w:tr w14:paraId="2DFB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127A4096">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2100" w:type="dxa"/>
            <w:vAlign w:val="center"/>
          </w:tcPr>
          <w:p w14:paraId="3DB8C9EE">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细胞过程所需的能量来源</w:t>
            </w:r>
          </w:p>
        </w:tc>
        <w:tc>
          <w:tcPr>
            <w:tcW w:w="7060" w:type="dxa"/>
            <w:vAlign w:val="center"/>
          </w:tcPr>
          <w:p w14:paraId="44EF87E5">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蛋白质的合成、加工和运输过程均需要消耗能量（ATP），这些能量主要由线粒体提供，因此线粒体必须参与。</w:t>
            </w:r>
          </w:p>
        </w:tc>
      </w:tr>
    </w:tbl>
    <w:p w14:paraId="3A64571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65262D4B">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1．真核生物细胞内错误折叠的蛋白质或损伤的细胞器会以吞噬泡的方式被包裹，并与溶酶体融合使其降解。下列叙述正确的是(　　)</w:t>
      </w:r>
    </w:p>
    <w:p w14:paraId="15825BED">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A.吞噬泡是由囊泡形成的一种单层膜细胞器</w:t>
      </w:r>
    </w:p>
    <w:p w14:paraId="7BB3128F">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B.错误折叠的蛋白质会进入高尔基体进一步加工</w:t>
      </w:r>
    </w:p>
    <w:p w14:paraId="2B2DA24D">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C.溶酶体合成的多种水解酶能分解损伤的细胞器</w:t>
      </w:r>
    </w:p>
    <w:p w14:paraId="32DCD012">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D.吞噬泡与溶酶体融合的过程体现了生物膜的流动性</w:t>
      </w:r>
    </w:p>
    <w:p w14:paraId="4FDFF536">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【答案】D</w:t>
      </w:r>
    </w:p>
    <w:p w14:paraId="71D9E604">
      <w:pPr>
        <w:shd w:val="clear" w:color="auto" w:fill="auto"/>
        <w:spacing w:line="360" w:lineRule="auto"/>
        <w:jc w:val="left"/>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解析</w:t>
      </w:r>
      <w:r>
        <w:rPr>
          <w:rFonts w:hint="eastAsia" w:asciiTheme="minorEastAsia" w:hAnsiTheme="minorEastAsia" w:cstheme="minorEastAsia"/>
          <w:color w:val="FF0000"/>
          <w:sz w:val="21"/>
          <w:szCs w:val="21"/>
          <w:lang w:val="en-US" w:eastAsia="zh-CN"/>
        </w:rPr>
        <w:t>：</w:t>
      </w:r>
      <w:r>
        <w:rPr>
          <w:rFonts w:hint="eastAsia" w:asciiTheme="minorEastAsia" w:hAnsiTheme="minorEastAsia" w:eastAsiaTheme="minorEastAsia" w:cstheme="minorEastAsia"/>
          <w:color w:val="FF0000"/>
          <w:sz w:val="21"/>
          <w:szCs w:val="21"/>
          <w:lang w:val="en-US" w:eastAsia="zh-CN"/>
        </w:rPr>
        <w:t>　囊泡不是细胞器，A错误；折叠错误的蛋白质会被运转到溶酶体降解，一般不会进入高尔基体进一步加工，B错误；溶酶体内的水解酶是核糖体合成的，C错误；吞噬泡与溶酶体融合过程体现了生物膜的流动性，D正确。</w:t>
      </w:r>
    </w:p>
    <w:p w14:paraId="6FABC17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6" w:firstLineChars="202"/>
        <w:contextualSpacing/>
        <w:textAlignment w:val="center"/>
        <w:rPr>
          <w:rFonts w:hint="eastAsia" w:asciiTheme="minorEastAsia" w:hAnsiTheme="minorEastAsia" w:eastAsiaTheme="minorEastAsia" w:cstheme="minorEastAsia"/>
          <w:b/>
          <w:bCs/>
          <w:color w:val="FF0000"/>
          <w:lang w:val="en-US" w:eastAsia="zh-CN"/>
        </w:rPr>
      </w:pPr>
      <w:r>
        <w:rPr>
          <w:rFonts w:hint="eastAsia" w:asciiTheme="minorEastAsia" w:hAnsiTheme="minorEastAsia" w:eastAsiaTheme="minorEastAsia" w:cstheme="minorEastAsia"/>
          <w:b/>
          <w:bCs/>
          <w:color w:val="FF0000"/>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100"/>
        <w:gridCol w:w="7060"/>
      </w:tblGrid>
      <w:tr w14:paraId="4E24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5FB0710B">
            <w:pPr>
              <w:shd w:val="clear" w:color="auto" w:fill="auto"/>
              <w:spacing w:line="360" w:lineRule="auto"/>
              <w:jc w:val="both"/>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2100" w:type="dxa"/>
            <w:vAlign w:val="center"/>
          </w:tcPr>
          <w:p w14:paraId="700514EB">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7060" w:type="dxa"/>
            <w:vAlign w:val="center"/>
          </w:tcPr>
          <w:p w14:paraId="0A29E6BA">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关键点解析与易错提醒</w:t>
            </w:r>
          </w:p>
        </w:tc>
      </w:tr>
      <w:tr w14:paraId="4834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242B5991">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2100" w:type="dxa"/>
            <w:vAlign w:val="center"/>
          </w:tcPr>
          <w:p w14:paraId="64B8F888">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细胞结构的概念</w:t>
            </w:r>
          </w:p>
        </w:tc>
        <w:tc>
          <w:tcPr>
            <w:tcW w:w="7060" w:type="dxa"/>
            <w:vAlign w:val="center"/>
          </w:tcPr>
          <w:p w14:paraId="50197134">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区分“细胞器”与“囊泡”：</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细胞器是细胞内具有特定、相对稳定结构和功能的亚单位（如线粒体、高尔基体）。</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吞噬泡等囊泡是临时性的膜结构，用于物质运输，完成任务后即发生融合或消失，不被视为固定的细胞器。</w:t>
            </w:r>
          </w:p>
        </w:tc>
      </w:tr>
      <w:tr w14:paraId="53F9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2BF2537A">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2100" w:type="dxa"/>
            <w:vAlign w:val="center"/>
          </w:tcPr>
          <w:p w14:paraId="1A0AF5FC">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蛋白质的运输与分选</w:t>
            </w:r>
          </w:p>
        </w:tc>
        <w:tc>
          <w:tcPr>
            <w:tcW w:w="7060" w:type="dxa"/>
            <w:vAlign w:val="center"/>
          </w:tcPr>
          <w:p w14:paraId="3DE72E72">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明确正确与错误蛋白的不同途径：</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正确折叠的蛋白质才会进入内质网→高尔基体途径进行加工和运输。</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错误折叠的蛋白质会被细胞内的质量控制机制识别，并主要通过自噬或蛋白酶体途径进行降解，而不是送去加工。</w:t>
            </w:r>
          </w:p>
        </w:tc>
      </w:tr>
      <w:tr w14:paraId="454F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774683CC">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2100" w:type="dxa"/>
            <w:vAlign w:val="center"/>
          </w:tcPr>
          <w:p w14:paraId="612D279E">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水解酶的合成与作用</w:t>
            </w:r>
          </w:p>
        </w:tc>
        <w:tc>
          <w:tcPr>
            <w:tcW w:w="7060" w:type="dxa"/>
            <w:vAlign w:val="center"/>
          </w:tcPr>
          <w:p w14:paraId="2AD76D0F">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区分酶的“合成”与“作用”场所：</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几乎所有酶的化学本质都是蛋白质，而蛋白质的合成场所是核糖体（附着在内质网上的核糖体或游离核糖体）。</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溶酶体是储存并利用这些水解酶进行消化的场所，它本身不合成酶。</w:t>
            </w:r>
          </w:p>
        </w:tc>
      </w:tr>
      <w:tr w14:paraId="73AD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1734B43B">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2100" w:type="dxa"/>
            <w:vAlign w:val="center"/>
          </w:tcPr>
          <w:p w14:paraId="421F7B60">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生物膜的结构特性</w:t>
            </w:r>
          </w:p>
        </w:tc>
        <w:tc>
          <w:tcPr>
            <w:tcW w:w="7060" w:type="dxa"/>
            <w:vAlign w:val="center"/>
          </w:tcPr>
          <w:p w14:paraId="42303D71">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理解生物膜“流动性”的实例：</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生物膜的流动性是其基本结构特征，使得膜结构能够发生形状改变、融合和分裂。</w:t>
            </w:r>
            <w:r>
              <w:rPr>
                <w:rFonts w:hint="eastAsia" w:ascii="Times New Roman" w:hAnsi="Times New Roman" w:cs="Times New Roman" w:eastAsiaTheme="majorEastAsia"/>
                <w:lang w:val="en-US" w:eastAsia="zh-CN"/>
              </w:rPr>
              <w:br w:type="textWrapping"/>
            </w:r>
            <w:r>
              <w:rPr>
                <w:rFonts w:hint="eastAsia" w:ascii="Times New Roman" w:hAnsi="Times New Roman" w:cs="Times New Roman" w:eastAsiaTheme="majorEastAsia"/>
                <w:lang w:val="en-US" w:eastAsia="zh-CN"/>
              </w:rPr>
              <w:t>• 吞噬泡与溶酶体的融合过程，正是膜流动性最典型、最直观的体现之一。</w:t>
            </w:r>
          </w:p>
        </w:tc>
      </w:tr>
    </w:tbl>
    <w:p w14:paraId="421AFD54">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高尔基体是有“极性”的，构成高尔基体的膜囊有顺面、中间和反面三部分。顺面接受来自内质网的物质并转入中间膜囊进一步修饰加工，反面参与溶酶体酶(具有M6P标记)等蛋白质的分类和包装。图示是发生在高尔基体反面的3条分选途径。下列说法错误的是(　　)</w:t>
      </w:r>
    </w:p>
    <w:p w14:paraId="6A76C0A1">
      <w:pPr>
        <w:pStyle w:val="4"/>
        <w:tabs>
          <w:tab w:val="left" w:pos="3828"/>
        </w:tabs>
        <w:snapToGrid w:val="0"/>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706370" cy="1754505"/>
            <wp:effectExtent l="0" t="0" r="1143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9"/>
                    <a:stretch>
                      <a:fillRect/>
                    </a:stretch>
                  </pic:blipFill>
                  <pic:spPr>
                    <a:xfrm>
                      <a:off x="0" y="0"/>
                      <a:ext cx="2706370" cy="1754505"/>
                    </a:xfrm>
                    <a:prstGeom prst="rect">
                      <a:avLst/>
                    </a:prstGeom>
                    <a:noFill/>
                    <a:ln>
                      <a:noFill/>
                    </a:ln>
                  </pic:spPr>
                </pic:pic>
              </a:graphicData>
            </a:graphic>
          </wp:inline>
        </w:drawing>
      </w:r>
    </w:p>
    <w:p w14:paraId="171E5991">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A．组成型分泌可能有利于物质的跨膜运输</w:t>
      </w:r>
    </w:p>
    <w:p w14:paraId="0C5B9ADB">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B．可调节性分泌离不开细胞间的信息交流</w:t>
      </w:r>
    </w:p>
    <w:p w14:paraId="4D2A59F6">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C．M6P受体数量减少会抑制衰老细胞器的分解</w:t>
      </w:r>
    </w:p>
    <w:p w14:paraId="680E53B8">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D．顺面接受来自内质网的物质时需要膜上大量转运蛋白的参与</w:t>
      </w:r>
    </w:p>
    <w:p w14:paraId="11B65A70">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6" w:firstLineChars="202"/>
        <w:contextualSpacing/>
        <w:textAlignment w:val="center"/>
        <w:rPr>
          <w:rFonts w:hint="default" w:ascii="Times New Roman" w:hAnsi="Times New Roman" w:eastAsia="宋体" w:cs="Times New Roman"/>
          <w:b/>
          <w:bCs/>
          <w:color w:val="FF0000"/>
        </w:rPr>
      </w:pPr>
      <w:r>
        <w:rPr>
          <w:rFonts w:hint="default" w:ascii="Times New Roman" w:hAnsi="Times New Roman" w:eastAsia="宋体" w:cs="Times New Roman"/>
          <w:b/>
          <w:bCs/>
          <w:color w:val="FF0000"/>
        </w:rPr>
        <w:t>【答案】</w:t>
      </w:r>
      <w:r>
        <w:rPr>
          <w:rFonts w:hint="default" w:ascii="Times New Roman" w:hAnsi="Times New Roman" w:cs="Times New Roman" w:eastAsiaTheme="majorEastAsia"/>
          <w:color w:val="FF0000"/>
          <w:lang w:val="en-US" w:eastAsia="zh-CN"/>
        </w:rPr>
        <w:t>D</w:t>
      </w:r>
    </w:p>
    <w:p w14:paraId="3BFE3EF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【解析】A选项正确： 组成型分泌是持续不断的分泌过程，新形成的囊泡会持续与细胞膜融合，这一过程能增加和更新细胞膜上的膜蛋白和脂质，同时也将分泌蛋白释放到细胞外。这对于物质（如膜蛋白、胞外基质成分）的“跨膜”定位和运输至关重要。</w:t>
      </w:r>
    </w:p>
    <w:p w14:paraId="4218816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B选项正确： 可调节性分泌是指分泌物（如激素、神经递质）先储存在分泌囊泡中，只有在接收到特定的细胞信号（如激素、电信号）后，囊泡才与细胞膜融合并释放内容物。这完全依赖于细胞对外部信号的识别和应答，即细胞间的信息交流。</w:t>
      </w:r>
    </w:p>
    <w:p w14:paraId="7B803D29">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C选项正确： 溶酶体酶上的M6P标记是其被正确运输到溶酶体的“身份证”。如果高尔基体反面的M6P受体数量减少，大量溶酶体酶将无法被有效分选和包装，而是通过“默认”的组成型分泌途径被错误地运出细胞。这将导致细胞内溶酶体数量或功能不足，从而抑制对衰老细胞器、错误折叠蛋白质等物质的分解（即影响细胞自噬）。</w:t>
      </w:r>
    </w:p>
    <w:p w14:paraId="3205EC0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D选项错误： 来自内质网的囊泡是通过膜融合（依赖膜上的融合蛋白）的方式将其内容物和膜成分传递给高尔基体顺面的，这个过程主要体现了生物膜的流动性，而不是通过转运蛋白进行跨膜运输。转运蛋白主要负责将特定分子或离子从膜的一侧转运到另一侧，而囊泡运输是批量运输大分子和膜结构的方式。</w:t>
      </w:r>
    </w:p>
    <w:p w14:paraId="6A4CABF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100"/>
        <w:gridCol w:w="7060"/>
      </w:tblGrid>
      <w:tr w14:paraId="00D1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348E085A">
            <w:pPr>
              <w:shd w:val="clear" w:color="auto" w:fill="auto"/>
              <w:spacing w:line="360" w:lineRule="auto"/>
              <w:jc w:val="both"/>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选项</w:t>
            </w:r>
          </w:p>
        </w:tc>
        <w:tc>
          <w:tcPr>
            <w:tcW w:w="2100" w:type="dxa"/>
            <w:vAlign w:val="center"/>
          </w:tcPr>
          <w:p w14:paraId="0EA515F4">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w:t>
            </w:r>
          </w:p>
        </w:tc>
        <w:tc>
          <w:tcPr>
            <w:tcW w:w="7060" w:type="dxa"/>
            <w:vAlign w:val="center"/>
          </w:tcPr>
          <w:p w14:paraId="7AD933F8">
            <w:pPr>
              <w:shd w:val="clear" w:color="auto" w:fill="auto"/>
              <w:spacing w:line="360" w:lineRule="auto"/>
              <w:ind w:left="300"/>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关键点解析与易错提醒</w:t>
            </w:r>
          </w:p>
        </w:tc>
      </w:tr>
      <w:tr w14:paraId="2018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41E8C113">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p>
        </w:tc>
        <w:tc>
          <w:tcPr>
            <w:tcW w:w="2100" w:type="dxa"/>
            <w:vAlign w:val="center"/>
          </w:tcPr>
          <w:p w14:paraId="495C93C6">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组成型分泌的功能</w:t>
            </w:r>
          </w:p>
        </w:tc>
        <w:tc>
          <w:tcPr>
            <w:tcW w:w="7060" w:type="dxa"/>
            <w:vAlign w:val="center"/>
          </w:tcPr>
          <w:p w14:paraId="1776CB8F">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高尔基体反面持续形成囊泡并与细胞膜融合（</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结构</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），实现了细胞膜成分的更新和胞外基质的持续供给（</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功能</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），这有利于维持物质运输的稳定进行。</w:t>
            </w:r>
          </w:p>
        </w:tc>
      </w:tr>
      <w:tr w14:paraId="4074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54EE7288">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B</w:t>
            </w:r>
          </w:p>
        </w:tc>
        <w:tc>
          <w:tcPr>
            <w:tcW w:w="2100" w:type="dxa"/>
            <w:vAlign w:val="center"/>
          </w:tcPr>
          <w:p w14:paraId="61C08592">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可调节性分泌的机制</w:t>
            </w:r>
          </w:p>
        </w:tc>
        <w:tc>
          <w:tcPr>
            <w:tcW w:w="7060" w:type="dxa"/>
            <w:vAlign w:val="center"/>
          </w:tcPr>
          <w:p w14:paraId="43EA59BA">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高尔基体反面能形成特化的</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分泌囊泡</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结构</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），并具备接收信号后启动融合的机制，这使其能够响应细胞间信息，在需要时精确释放大量分泌物（</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功能</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w:t>
            </w:r>
          </w:p>
        </w:tc>
      </w:tr>
      <w:tr w14:paraId="2C8C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7D8407B8">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C</w:t>
            </w:r>
          </w:p>
        </w:tc>
        <w:tc>
          <w:tcPr>
            <w:tcW w:w="2100" w:type="dxa"/>
            <w:vAlign w:val="center"/>
          </w:tcPr>
          <w:p w14:paraId="122B750C">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M6P受体的分选功能</w:t>
            </w:r>
          </w:p>
        </w:tc>
        <w:tc>
          <w:tcPr>
            <w:tcW w:w="7060" w:type="dxa"/>
            <w:vAlign w:val="center"/>
          </w:tcPr>
          <w:p w14:paraId="28F43D89">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高尔基体反面膜上存在</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M6P受体</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（关键结构），这一特异性结构确保了带有M6P标记的溶酶体酶能被准确“分拣”和包装，从而保证溶酶体正常行使降解功能。</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受体结构异常直接导致功能丧失</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w:t>
            </w:r>
          </w:p>
        </w:tc>
      </w:tr>
      <w:tr w14:paraId="0005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40D1CF76">
            <w:pPr>
              <w:shd w:val="clear" w:color="auto" w:fill="auto"/>
              <w:spacing w:line="360" w:lineRule="auto"/>
              <w:jc w:val="center"/>
              <w:textAlignment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D</w:t>
            </w:r>
          </w:p>
        </w:tc>
        <w:tc>
          <w:tcPr>
            <w:tcW w:w="2100" w:type="dxa"/>
            <w:vAlign w:val="center"/>
          </w:tcPr>
          <w:p w14:paraId="55BCD336">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囊泡运输的机制</w:t>
            </w:r>
          </w:p>
        </w:tc>
        <w:tc>
          <w:tcPr>
            <w:tcW w:w="7060" w:type="dxa"/>
            <w:vAlign w:val="center"/>
          </w:tcPr>
          <w:p w14:paraId="7255401C">
            <w:pPr>
              <w:keepNext w:val="0"/>
              <w:keepLines w:val="0"/>
              <w:widowControl/>
              <w:suppressLineNumbers w:val="0"/>
              <w:jc w:val="left"/>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内质网与高尔基体顺面通过</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囊泡运输</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结构基础是膜流动性</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）来传递物质，这是一种高效、批量的大分子运输方式，其结构与功能远不同于单个、选择性的</w:t>
            </w:r>
            <w:r>
              <w:rPr>
                <w:rStyle w:val="12"/>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转运蛋白</w:t>
            </w:r>
            <w:r>
              <w:rPr>
                <w:rFonts w:hint="eastAsia" w:asciiTheme="minorEastAsia" w:hAnsiTheme="minorEastAsia" w:eastAsiaTheme="minorEastAsia" w:cstheme="minorEastAsia"/>
                <w:b w:val="0"/>
                <w:bCs w:val="0"/>
                <w:i w:val="0"/>
                <w:iCs w:val="0"/>
                <w:caps w:val="0"/>
                <w:color w:val="0F1115"/>
                <w:spacing w:val="0"/>
                <w:kern w:val="0"/>
                <w:sz w:val="21"/>
                <w:szCs w:val="21"/>
                <w:lang w:val="en-US" w:eastAsia="zh-CN" w:bidi="ar"/>
              </w:rPr>
              <w:t>跨膜运输。混淆这两种运输机制是错误根源。</w:t>
            </w:r>
          </w:p>
        </w:tc>
      </w:tr>
    </w:tbl>
    <w:p w14:paraId="5E72AF32">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p>
    <w:p w14:paraId="53DE103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6" name="图片 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3</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提取信息巧判跨膜运输方式</w:t>
      </w:r>
    </w:p>
    <w:p w14:paraId="43C4314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7" name="图片 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7FB4D3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0"/>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350"/>
        <w:gridCol w:w="7220"/>
      </w:tblGrid>
      <w:tr w14:paraId="46CB0C1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shd w:val="clear" w:color="auto" w:fill="FABF8F" w:themeFill="accent6" w:themeFillTint="99"/>
            <w:vAlign w:val="center"/>
          </w:tcPr>
          <w:p w14:paraId="674C924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方法</w:t>
            </w:r>
          </w:p>
        </w:tc>
        <w:tc>
          <w:tcPr>
            <w:tcW w:w="7220" w:type="dxa"/>
            <w:tcBorders>
              <w:tl2br w:val="nil"/>
              <w:tr2bl w:val="nil"/>
            </w:tcBorders>
            <w:shd w:val="clear" w:color="auto" w:fill="FABF8F" w:themeFill="accent6" w:themeFillTint="99"/>
            <w:vAlign w:val="center"/>
          </w:tcPr>
          <w:p w14:paraId="40E9A95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1068D6E4">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3C0470C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三要素提取法</w:t>
            </w:r>
          </w:p>
        </w:tc>
        <w:tc>
          <w:tcPr>
            <w:tcW w:w="7220" w:type="dxa"/>
            <w:tcBorders>
              <w:tl2br w:val="nil"/>
              <w:tr2bl w:val="nil"/>
            </w:tcBorders>
            <w:vAlign w:val="center"/>
          </w:tcPr>
          <w:p w14:paraId="5ADA77B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精准锁定判断跨膜运输方式的三个核心要素——浓度梯度（顺/逆）、能量（ATP，需/不需）、</w:t>
            </w:r>
            <w:r>
              <w:rPr>
                <w:rFonts w:hint="eastAsia" w:ascii="Times New Roman" w:hAnsi="Times New Roman" w:cs="Times New Roman" w:eastAsiaTheme="majorEastAsia"/>
                <w:szCs w:val="21"/>
                <w:lang w:val="en-US" w:eastAsia="zh-CN"/>
              </w:rPr>
              <w:t>转运蛋白或</w:t>
            </w:r>
            <w:r>
              <w:rPr>
                <w:rFonts w:hint="default" w:ascii="Times New Roman" w:hAnsi="Times New Roman" w:cs="Times New Roman" w:eastAsiaTheme="majorEastAsia"/>
                <w:szCs w:val="21"/>
                <w:lang w:val="en-US" w:eastAsia="zh-CN"/>
              </w:rPr>
              <w:t>载体蛋白（需/不需），这是判断的根本依据。</w:t>
            </w:r>
          </w:p>
        </w:tc>
      </w:tr>
      <w:tr w14:paraId="6B81AA2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3628FAD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模型匹配法</w:t>
            </w:r>
          </w:p>
        </w:tc>
        <w:tc>
          <w:tcPr>
            <w:tcW w:w="7220" w:type="dxa"/>
            <w:tcBorders>
              <w:tl2br w:val="nil"/>
              <w:tr2bl w:val="nil"/>
            </w:tcBorders>
            <w:vAlign w:val="center"/>
          </w:tcPr>
          <w:p w14:paraId="0605C94F">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将题干信息转化为“文字模型”“曲线模型”“示意图模型”，对照典型模型特征快速匹配运输方式（如“速率与浓度差成正比”对应自由扩散）。</w:t>
            </w:r>
          </w:p>
        </w:tc>
      </w:tr>
      <w:tr w14:paraId="7B06FD2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6A9040B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特例标注法</w:t>
            </w:r>
          </w:p>
        </w:tc>
        <w:tc>
          <w:tcPr>
            <w:tcW w:w="7220" w:type="dxa"/>
            <w:tcBorders>
              <w:tl2br w:val="nil"/>
              <w:tr2bl w:val="nil"/>
            </w:tcBorders>
            <w:vAlign w:val="center"/>
          </w:tcPr>
          <w:p w14:paraId="7F61D48F">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牢记特殊物质的运输方式（如葡萄糖进入红细胞为协助扩散，进入小肠上皮细胞为主动运输），避免“一刀切”判断。</w:t>
            </w:r>
          </w:p>
        </w:tc>
      </w:tr>
    </w:tbl>
    <w:p w14:paraId="28CD800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1028956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201B4B3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以“三要素”为核心构建阶梯式判断框架，先区分“穿膜运输”与“非穿膜运输”，再细分穿膜运输类型：</w:t>
      </w:r>
    </w:p>
    <w:p w14:paraId="7E5195E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（1）第一步：判断是否为跨膜运输（穿膜vs非穿膜）</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3890"/>
        <w:gridCol w:w="2420"/>
        <w:gridCol w:w="3290"/>
      </w:tblGrid>
      <w:tr w14:paraId="4BEFA31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ABF8F" w:themeFill="accent6" w:themeFillTint="99"/>
            <w:tcMar>
              <w:top w:w="60" w:type="dxa"/>
              <w:left w:w="120" w:type="dxa"/>
              <w:bottom w:w="30" w:type="dxa"/>
              <w:right w:w="120" w:type="dxa"/>
            </w:tcMar>
            <w:vAlign w:val="center"/>
          </w:tcPr>
          <w:p w14:paraId="3C5F5A2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判断依据</w:t>
            </w:r>
          </w:p>
        </w:tc>
        <w:tc>
          <w:tcPr>
            <w:tcW w:w="2420" w:type="dxa"/>
            <w:tcBorders>
              <w:tl2br w:val="nil"/>
              <w:tr2bl w:val="nil"/>
            </w:tcBorders>
            <w:shd w:val="clear" w:color="auto" w:fill="FABF8F" w:themeFill="accent6" w:themeFillTint="99"/>
            <w:tcMar>
              <w:top w:w="60" w:type="dxa"/>
              <w:left w:w="120" w:type="dxa"/>
              <w:bottom w:w="30" w:type="dxa"/>
              <w:right w:w="120" w:type="dxa"/>
            </w:tcMar>
            <w:vAlign w:val="center"/>
          </w:tcPr>
          <w:p w14:paraId="7FFDB21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运输类型</w:t>
            </w:r>
          </w:p>
        </w:tc>
        <w:tc>
          <w:tcPr>
            <w:tcW w:w="3290" w:type="dxa"/>
            <w:tcBorders>
              <w:tl2br w:val="nil"/>
              <w:tr2bl w:val="nil"/>
            </w:tcBorders>
            <w:shd w:val="clear" w:color="auto" w:fill="FABF8F" w:themeFill="accent6" w:themeFillTint="99"/>
            <w:tcMar>
              <w:top w:w="60" w:type="dxa"/>
              <w:left w:w="120" w:type="dxa"/>
              <w:bottom w:w="30" w:type="dxa"/>
              <w:right w:w="120" w:type="dxa"/>
            </w:tcMar>
            <w:vAlign w:val="center"/>
          </w:tcPr>
          <w:p w14:paraId="50A89B9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典型例子</w:t>
            </w:r>
          </w:p>
        </w:tc>
      </w:tr>
      <w:tr w14:paraId="5CFCD7E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127B473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物质为大分子（如蛋白质、多糖）或颗粒状物质；过程中出现“囊泡”“膜融合”</w:t>
            </w:r>
          </w:p>
        </w:tc>
        <w:tc>
          <w:tcPr>
            <w:tcW w:w="2420" w:type="dxa"/>
            <w:tcBorders>
              <w:tl2br w:val="nil"/>
              <w:tr2bl w:val="nil"/>
            </w:tcBorders>
            <w:shd w:val="clear" w:color="auto" w:fill="FFFFFF"/>
            <w:tcMar>
              <w:top w:w="60" w:type="dxa"/>
              <w:left w:w="120" w:type="dxa"/>
              <w:bottom w:w="30" w:type="dxa"/>
              <w:right w:w="120" w:type="dxa"/>
            </w:tcMar>
            <w:vAlign w:val="center"/>
          </w:tcPr>
          <w:p w14:paraId="4E560BD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非穿膜运输（胞吞/胞吐）</w:t>
            </w:r>
          </w:p>
        </w:tc>
        <w:tc>
          <w:tcPr>
            <w:tcW w:w="3290" w:type="dxa"/>
            <w:tcBorders>
              <w:tl2br w:val="nil"/>
              <w:tr2bl w:val="nil"/>
            </w:tcBorders>
            <w:shd w:val="clear" w:color="auto" w:fill="FFFFFF"/>
            <w:tcMar>
              <w:top w:w="60" w:type="dxa"/>
              <w:left w:w="120" w:type="dxa"/>
              <w:bottom w:w="30" w:type="dxa"/>
              <w:right w:w="120" w:type="dxa"/>
            </w:tcMar>
            <w:vAlign w:val="center"/>
          </w:tcPr>
          <w:p w14:paraId="448B48E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抗体分泌、神经递质释放（胞吐）；吞噬细胞吞噬细菌（胞吞）</w:t>
            </w:r>
          </w:p>
        </w:tc>
      </w:tr>
      <w:tr w14:paraId="22550438">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59F76C1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物质为小分子（如O₂、CO₂、葡萄糖）或离子（如Na⁺、K⁺）；直接穿过生物膜</w:t>
            </w:r>
          </w:p>
        </w:tc>
        <w:tc>
          <w:tcPr>
            <w:tcW w:w="2420" w:type="dxa"/>
            <w:tcBorders>
              <w:tl2br w:val="nil"/>
              <w:tr2bl w:val="nil"/>
            </w:tcBorders>
            <w:shd w:val="clear" w:color="auto" w:fill="FFFFFF"/>
            <w:tcMar>
              <w:top w:w="60" w:type="dxa"/>
              <w:left w:w="120" w:type="dxa"/>
              <w:bottom w:w="30" w:type="dxa"/>
              <w:right w:w="120" w:type="dxa"/>
            </w:tcMar>
            <w:vAlign w:val="center"/>
          </w:tcPr>
          <w:p w14:paraId="5DBE156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穿膜运输（自由扩散/协助扩散/主动运输）</w:t>
            </w:r>
          </w:p>
        </w:tc>
        <w:tc>
          <w:tcPr>
            <w:tcW w:w="3290" w:type="dxa"/>
            <w:tcBorders>
              <w:tl2br w:val="nil"/>
              <w:tr2bl w:val="nil"/>
            </w:tcBorders>
            <w:shd w:val="clear" w:color="auto" w:fill="FFFFFF"/>
            <w:tcMar>
              <w:top w:w="60" w:type="dxa"/>
              <w:left w:w="120" w:type="dxa"/>
              <w:bottom w:w="30" w:type="dxa"/>
              <w:right w:w="120" w:type="dxa"/>
            </w:tcMar>
            <w:vAlign w:val="center"/>
          </w:tcPr>
          <w:p w14:paraId="5559405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O₂进入细胞、葡萄糖进入红细胞、小肠上皮细胞吸收葡萄糖</w:t>
            </w:r>
          </w:p>
        </w:tc>
      </w:tr>
    </w:tbl>
    <w:p w14:paraId="69E201A9">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（2）细分穿膜运输类型（三要素判断法）</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280"/>
        <w:gridCol w:w="1440"/>
        <w:gridCol w:w="1840"/>
        <w:gridCol w:w="1340"/>
        <w:gridCol w:w="3710"/>
      </w:tblGrid>
      <w:tr w14:paraId="1B2F8A1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ABF8F" w:themeFill="accent6" w:themeFillTint="99"/>
            <w:tcMar>
              <w:top w:w="60" w:type="dxa"/>
              <w:left w:w="120" w:type="dxa"/>
              <w:bottom w:w="30" w:type="dxa"/>
              <w:right w:w="120" w:type="dxa"/>
            </w:tcMar>
            <w:vAlign w:val="center"/>
          </w:tcPr>
          <w:p w14:paraId="126BEBFA">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运输方式</w:t>
            </w:r>
          </w:p>
        </w:tc>
        <w:tc>
          <w:tcPr>
            <w:tcW w:w="1440" w:type="dxa"/>
            <w:tcBorders>
              <w:tl2br w:val="nil"/>
              <w:tr2bl w:val="nil"/>
            </w:tcBorders>
            <w:shd w:val="clear" w:color="auto" w:fill="FABF8F" w:themeFill="accent6" w:themeFillTint="99"/>
            <w:tcMar>
              <w:top w:w="60" w:type="dxa"/>
              <w:left w:w="120" w:type="dxa"/>
              <w:bottom w:w="30" w:type="dxa"/>
              <w:right w:w="120" w:type="dxa"/>
            </w:tcMar>
            <w:vAlign w:val="center"/>
          </w:tcPr>
          <w:p w14:paraId="6AAA2404">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浓度梯度</w:t>
            </w:r>
          </w:p>
        </w:tc>
        <w:tc>
          <w:tcPr>
            <w:tcW w:w="1840" w:type="dxa"/>
            <w:tcBorders>
              <w:tl2br w:val="nil"/>
              <w:tr2bl w:val="nil"/>
            </w:tcBorders>
            <w:shd w:val="clear" w:color="auto" w:fill="FABF8F" w:themeFill="accent6" w:themeFillTint="99"/>
            <w:tcMar>
              <w:top w:w="60" w:type="dxa"/>
              <w:left w:w="120" w:type="dxa"/>
              <w:bottom w:w="30" w:type="dxa"/>
              <w:right w:w="120" w:type="dxa"/>
            </w:tcMar>
            <w:vAlign w:val="center"/>
          </w:tcPr>
          <w:p w14:paraId="57A95FEA">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lang w:val="en-US" w:eastAsia="zh-CN"/>
              </w:rPr>
              <w:t>转运(</w:t>
            </w:r>
            <w:r>
              <w:rPr>
                <w:rFonts w:hint="default" w:ascii="Times New Roman" w:hAnsi="Times New Roman" w:cs="Times New Roman" w:eastAsiaTheme="minorEastAsia"/>
                <w:b/>
                <w:bCs/>
                <w:color w:val="000000"/>
                <w:sz w:val="22"/>
              </w:rPr>
              <w:t>载体</w:t>
            </w:r>
            <w:r>
              <w:rPr>
                <w:rFonts w:hint="default" w:ascii="Times New Roman" w:hAnsi="Times New Roman" w:cs="Times New Roman" w:eastAsiaTheme="minorEastAsia"/>
                <w:b/>
                <w:bCs/>
                <w:color w:val="000000"/>
                <w:sz w:val="22"/>
                <w:lang w:val="en-US" w:eastAsia="zh-CN"/>
              </w:rPr>
              <w:t>)</w:t>
            </w:r>
            <w:r>
              <w:rPr>
                <w:rFonts w:hint="default" w:ascii="Times New Roman" w:hAnsi="Times New Roman" w:cs="Times New Roman" w:eastAsiaTheme="minorEastAsia"/>
                <w:b/>
                <w:bCs/>
                <w:color w:val="000000"/>
                <w:sz w:val="22"/>
              </w:rPr>
              <w:t>蛋白</w:t>
            </w:r>
          </w:p>
        </w:tc>
        <w:tc>
          <w:tcPr>
            <w:tcW w:w="1340" w:type="dxa"/>
            <w:tcBorders>
              <w:tl2br w:val="nil"/>
              <w:tr2bl w:val="nil"/>
            </w:tcBorders>
            <w:shd w:val="clear" w:color="auto" w:fill="FABF8F" w:themeFill="accent6" w:themeFillTint="99"/>
            <w:tcMar>
              <w:top w:w="60" w:type="dxa"/>
              <w:left w:w="120" w:type="dxa"/>
              <w:bottom w:w="30" w:type="dxa"/>
              <w:right w:w="120" w:type="dxa"/>
            </w:tcMar>
            <w:vAlign w:val="center"/>
          </w:tcPr>
          <w:p w14:paraId="0C829B27">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能量（ATP）</w:t>
            </w:r>
          </w:p>
        </w:tc>
        <w:tc>
          <w:tcPr>
            <w:tcW w:w="3710" w:type="dxa"/>
            <w:tcBorders>
              <w:tl2br w:val="nil"/>
              <w:tr2bl w:val="nil"/>
            </w:tcBorders>
            <w:shd w:val="clear" w:color="auto" w:fill="FABF8F" w:themeFill="accent6" w:themeFillTint="99"/>
            <w:tcMar>
              <w:top w:w="60" w:type="dxa"/>
              <w:left w:w="120" w:type="dxa"/>
              <w:bottom w:w="30" w:type="dxa"/>
              <w:right w:w="120" w:type="dxa"/>
            </w:tcMar>
            <w:vAlign w:val="center"/>
          </w:tcPr>
          <w:p w14:paraId="7262D86C">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典型例子</w:t>
            </w:r>
          </w:p>
        </w:tc>
      </w:tr>
      <w:tr w14:paraId="385E6AA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76B49CE3">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自由扩散</w:t>
            </w:r>
          </w:p>
        </w:tc>
        <w:tc>
          <w:tcPr>
            <w:tcW w:w="1440" w:type="dxa"/>
            <w:tcBorders>
              <w:tl2br w:val="nil"/>
              <w:tr2bl w:val="nil"/>
            </w:tcBorders>
            <w:shd w:val="clear" w:color="auto" w:fill="FFFFFF"/>
            <w:tcMar>
              <w:top w:w="60" w:type="dxa"/>
              <w:left w:w="120" w:type="dxa"/>
              <w:bottom w:w="30" w:type="dxa"/>
              <w:right w:w="120" w:type="dxa"/>
            </w:tcMar>
            <w:vAlign w:val="center"/>
          </w:tcPr>
          <w:p w14:paraId="550671F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647D5E2B">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1340" w:type="dxa"/>
            <w:tcBorders>
              <w:tl2br w:val="nil"/>
              <w:tr2bl w:val="nil"/>
            </w:tcBorders>
            <w:shd w:val="clear" w:color="auto" w:fill="FFFFFF"/>
            <w:tcMar>
              <w:top w:w="60" w:type="dxa"/>
              <w:left w:w="120" w:type="dxa"/>
              <w:bottom w:w="30" w:type="dxa"/>
              <w:right w:w="120" w:type="dxa"/>
            </w:tcMar>
            <w:vAlign w:val="center"/>
          </w:tcPr>
          <w:p w14:paraId="6DFB4123">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098376E0">
            <w:pPr>
              <w:spacing w:before="120" w:after="120" w:line="288" w:lineRule="auto"/>
              <w:ind w:left="0"/>
              <w:jc w:val="both"/>
              <w:rPr>
                <w:rFonts w:hint="default" w:ascii="Times New Roman" w:hAnsi="Times New Roman" w:cs="Times New Roman" w:eastAsiaTheme="minorEastAsia"/>
                <w:b w:val="0"/>
                <w:color w:val="000000"/>
                <w:lang w:val="en-US" w:eastAsia="zh-CN"/>
              </w:rPr>
            </w:pPr>
            <w:r>
              <w:rPr>
                <w:rFonts w:hint="default" w:ascii="Times New Roman" w:hAnsi="Times New Roman" w:cs="Times New Roman" w:eastAsiaTheme="minorEastAsia"/>
                <w:b w:val="0"/>
                <w:color w:val="000000"/>
                <w:sz w:val="22"/>
                <w:lang w:val="en-US" w:eastAsia="zh-CN"/>
              </w:rPr>
              <w:t>气体（</w:t>
            </w:r>
            <w:r>
              <w:rPr>
                <w:rFonts w:hint="default" w:ascii="Times New Roman" w:hAnsi="Times New Roman" w:cs="Times New Roman" w:eastAsiaTheme="minorEastAsia"/>
                <w:b w:val="0"/>
                <w:color w:val="000000"/>
                <w:sz w:val="22"/>
              </w:rPr>
              <w:t>O₂、CO₂</w:t>
            </w:r>
            <w:r>
              <w:rPr>
                <w:rFonts w:hint="default" w:ascii="Times New Roman" w:hAnsi="Times New Roman" w:cs="Times New Roman" w:eastAsiaTheme="minorEastAsia"/>
                <w:b w:val="0"/>
                <w:color w:val="000000"/>
                <w:sz w:val="22"/>
                <w:lang w:val="en-US" w:eastAsia="zh-CN"/>
              </w:rPr>
              <w:t>）</w:t>
            </w: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少部分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val="en-US" w:eastAsia="zh-CN"/>
              </w:rPr>
              <w:t>脂溶性小分子（</w:t>
            </w:r>
            <w:r>
              <w:rPr>
                <w:rFonts w:hint="default" w:ascii="Times New Roman" w:hAnsi="Times New Roman" w:cs="Times New Roman" w:eastAsiaTheme="minorEastAsia"/>
                <w:b w:val="0"/>
                <w:color w:val="000000"/>
                <w:sz w:val="22"/>
              </w:rPr>
              <w:t>甘油、乙醇</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lang w:val="en-US" w:eastAsia="zh-CN"/>
              </w:rPr>
              <w:t>苯等）</w:t>
            </w:r>
          </w:p>
        </w:tc>
      </w:tr>
      <w:tr w14:paraId="6DBC97F7">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313D372F">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协助扩散</w:t>
            </w:r>
          </w:p>
        </w:tc>
        <w:tc>
          <w:tcPr>
            <w:tcW w:w="1440" w:type="dxa"/>
            <w:tcBorders>
              <w:tl2br w:val="nil"/>
              <w:tr2bl w:val="nil"/>
            </w:tcBorders>
            <w:shd w:val="clear" w:color="auto" w:fill="FFFFFF"/>
            <w:tcMar>
              <w:top w:w="60" w:type="dxa"/>
              <w:left w:w="120" w:type="dxa"/>
              <w:bottom w:w="30" w:type="dxa"/>
              <w:right w:w="120" w:type="dxa"/>
            </w:tcMar>
            <w:vAlign w:val="center"/>
          </w:tcPr>
          <w:p w14:paraId="76DC3A9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291C5395">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32D683FA">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09A3E7D5">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大部分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rPr>
              <w:t>葡萄糖进入红细胞、Na⁺通过离子通道进入神经细胞</w:t>
            </w:r>
          </w:p>
        </w:tc>
      </w:tr>
      <w:tr w14:paraId="274C02D2">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0AFABDEB">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主动运输</w:t>
            </w:r>
          </w:p>
        </w:tc>
        <w:tc>
          <w:tcPr>
            <w:tcW w:w="1440" w:type="dxa"/>
            <w:tcBorders>
              <w:tl2br w:val="nil"/>
              <w:tr2bl w:val="nil"/>
            </w:tcBorders>
            <w:shd w:val="clear" w:color="auto" w:fill="FFFFFF"/>
            <w:tcMar>
              <w:top w:w="60" w:type="dxa"/>
              <w:left w:w="120" w:type="dxa"/>
              <w:bottom w:w="30" w:type="dxa"/>
              <w:right w:w="120" w:type="dxa"/>
            </w:tcMar>
            <w:vAlign w:val="center"/>
          </w:tcPr>
          <w:p w14:paraId="18FA25B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逆浓度梯度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443F0B16">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1E6190B5">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3710" w:type="dxa"/>
            <w:tcBorders>
              <w:tl2br w:val="nil"/>
              <w:tr2bl w:val="nil"/>
            </w:tcBorders>
            <w:shd w:val="clear" w:color="auto" w:fill="FFFFFF"/>
            <w:tcMar>
              <w:top w:w="60" w:type="dxa"/>
              <w:left w:w="120" w:type="dxa"/>
              <w:bottom w:w="30" w:type="dxa"/>
              <w:right w:w="120" w:type="dxa"/>
            </w:tcMar>
            <w:vAlign w:val="center"/>
          </w:tcPr>
          <w:p w14:paraId="7D1DCFB4">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小肠上皮细胞吸收葡萄糖、K⁺进入神经细胞（钠钾泵）</w:t>
            </w:r>
          </w:p>
        </w:tc>
      </w:tr>
    </w:tbl>
    <w:p w14:paraId="6911D2DC">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w:t>
      </w:r>
      <w:r>
        <w:rPr>
          <w:rFonts w:hint="eastAsia"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kern w:val="2"/>
          <w:sz w:val="21"/>
          <w:szCs w:val="21"/>
          <w:lang w:val="en-US" w:eastAsia="zh-CN" w:bidi="ar-SA"/>
        </w:rPr>
        <w:t>）</w:t>
      </w:r>
      <w:r>
        <w:rPr>
          <w:rFonts w:hint="default" w:ascii="Times New Roman" w:hAnsi="Times New Roman" w:cs="Times New Roman" w:eastAsiaTheme="majorEastAsia"/>
          <w:szCs w:val="21"/>
          <w:lang w:val="en-US" w:eastAsia="zh-CN"/>
        </w:rPr>
        <w:t>模型特征匹配（应对曲线/示意图题）</w:t>
      </w:r>
    </w:p>
    <w:tbl>
      <w:tblPr>
        <w:tblStyle w:val="10"/>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290"/>
        <w:gridCol w:w="1090"/>
        <w:gridCol w:w="7308"/>
      </w:tblGrid>
      <w:tr w14:paraId="1AB6908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tcBorders>
              <w:tl2br w:val="nil"/>
              <w:tr2bl w:val="nil"/>
            </w:tcBorders>
            <w:shd w:val="clear" w:color="auto" w:fill="FABF8F" w:themeFill="accent6" w:themeFillTint="99"/>
            <w:vAlign w:val="center"/>
          </w:tcPr>
          <w:p w14:paraId="554C356D">
            <w:pP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ajorEastAsia"/>
                <w:b/>
                <w:bCs/>
                <w:szCs w:val="21"/>
                <w:lang w:val="en-US" w:eastAsia="zh-CN"/>
              </w:rPr>
              <w:br w:type="page"/>
            </w:r>
            <w:r>
              <w:rPr>
                <w:rFonts w:hint="default" w:ascii="Times New Roman" w:hAnsi="Times New Roman" w:cs="Times New Roman" w:eastAsiaTheme="minorEastAsia"/>
                <w:b/>
                <w:bCs/>
                <w:vertAlign w:val="baseline"/>
                <w:lang w:val="en-US" w:eastAsia="zh-CN"/>
              </w:rPr>
              <w:t>类型</w:t>
            </w:r>
          </w:p>
        </w:tc>
        <w:tc>
          <w:tcPr>
            <w:tcW w:w="7308" w:type="dxa"/>
            <w:tcBorders>
              <w:tl2br w:val="nil"/>
              <w:tr2bl w:val="nil"/>
            </w:tcBorders>
            <w:shd w:val="clear" w:color="auto" w:fill="FABF8F" w:themeFill="accent6" w:themeFillTint="99"/>
            <w:vAlign w:val="center"/>
          </w:tcPr>
          <w:p w14:paraId="7703FB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inorEastAsia"/>
                <w:b/>
                <w:bCs/>
                <w:vertAlign w:val="baseline"/>
                <w:lang w:val="en-US" w:eastAsia="zh-CN"/>
              </w:rPr>
              <w:t>方法</w:t>
            </w:r>
          </w:p>
        </w:tc>
      </w:tr>
      <w:tr w14:paraId="10EEA8CE">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restart"/>
            <w:tcBorders>
              <w:tl2br w:val="nil"/>
              <w:tr2bl w:val="nil"/>
            </w:tcBorders>
            <w:vAlign w:val="center"/>
          </w:tcPr>
          <w:p w14:paraId="737072F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曲线模型</w:t>
            </w:r>
          </w:p>
        </w:tc>
        <w:tc>
          <w:tcPr>
            <w:tcW w:w="1090" w:type="dxa"/>
            <w:tcBorders>
              <w:tl2br w:val="nil"/>
              <w:tr2bl w:val="nil"/>
            </w:tcBorders>
            <w:vAlign w:val="center"/>
          </w:tcPr>
          <w:p w14:paraId="731F367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自由扩散</w:t>
            </w:r>
          </w:p>
        </w:tc>
        <w:tc>
          <w:tcPr>
            <w:tcW w:w="7308" w:type="dxa"/>
            <w:tcBorders>
              <w:tl2br w:val="nil"/>
              <w:tr2bl w:val="nil"/>
            </w:tcBorders>
            <w:vAlign w:val="center"/>
          </w:tcPr>
          <w:p w14:paraId="5679462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运输速率与浓度差呈“正相关”（直线，无饱和点）</w:t>
            </w:r>
          </w:p>
        </w:tc>
      </w:tr>
      <w:tr w14:paraId="3AAA1DE2">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2D01EF2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2DDCB349">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协助扩散</w:t>
            </w:r>
          </w:p>
        </w:tc>
        <w:tc>
          <w:tcPr>
            <w:tcW w:w="7308" w:type="dxa"/>
            <w:tcBorders>
              <w:tl2br w:val="nil"/>
              <w:tr2bl w:val="nil"/>
            </w:tcBorders>
            <w:vAlign w:val="center"/>
          </w:tcPr>
          <w:p w14:paraId="63429987">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运输速率先随浓度差增大而增大，达到一定浓度后“饱和”（曲线，饱和点由载体数量决定）</w:t>
            </w:r>
          </w:p>
        </w:tc>
      </w:tr>
      <w:tr w14:paraId="5525F7F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53822AC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4136515E">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主动运输</w:t>
            </w:r>
          </w:p>
        </w:tc>
        <w:tc>
          <w:tcPr>
            <w:tcW w:w="7308" w:type="dxa"/>
            <w:tcBorders>
              <w:tl2br w:val="nil"/>
              <w:tr2bl w:val="nil"/>
            </w:tcBorders>
            <w:vAlign w:val="center"/>
          </w:tcPr>
          <w:p w14:paraId="7868E5C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运输速率与浓度差无直接关联，受载体数量和能量供应影响（曲线可随能量增加而上升，达到载体饱和后稳定）</w:t>
            </w:r>
          </w:p>
        </w:tc>
      </w:tr>
      <w:tr w14:paraId="176D47E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restart"/>
            <w:tcBorders>
              <w:tl2br w:val="nil"/>
              <w:tr2bl w:val="nil"/>
            </w:tcBorders>
            <w:vAlign w:val="center"/>
          </w:tcPr>
          <w:p w14:paraId="74AC6FE7">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示意图模型</w:t>
            </w:r>
          </w:p>
        </w:tc>
        <w:tc>
          <w:tcPr>
            <w:tcW w:w="7308" w:type="dxa"/>
            <w:tcBorders>
              <w:tl2br w:val="nil"/>
              <w:tr2bl w:val="nil"/>
            </w:tcBorders>
            <w:vAlign w:val="center"/>
          </w:tcPr>
          <w:p w14:paraId="04496298">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若图中仅显示“物质从高浓度到低浓度，无</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/能量”→自由扩散</w:t>
            </w:r>
          </w:p>
        </w:tc>
      </w:tr>
      <w:tr w14:paraId="20D4FF9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719AA7C2">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6C20BBA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若显示“高浓度到低浓度，有</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，无能量”→协助扩散</w:t>
            </w:r>
          </w:p>
        </w:tc>
      </w:tr>
      <w:tr w14:paraId="28D88F84">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40C35C3A">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1960404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若显示“低浓度到高浓度，有载体，有能量（如ATP符号）”→主动运输</w:t>
            </w:r>
          </w:p>
        </w:tc>
      </w:tr>
    </w:tbl>
    <w:p w14:paraId="05DCAB34">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leftChars="0"/>
        <w:contextualSpacing/>
        <w:textAlignment w:val="center"/>
        <w:rPr>
          <w:rFonts w:hint="default" w:ascii="Times New Roman" w:hAnsi="Times New Roman" w:cs="Times New Roman" w:eastAsiaTheme="majorEastAsia"/>
          <w:szCs w:val="21"/>
          <w:lang w:val="en-US" w:eastAsia="zh-CN"/>
        </w:rPr>
      </w:pPr>
      <w:r>
        <w:rPr>
          <w:rFonts w:hint="eastAsia" w:ascii="Times New Roman" w:hAnsi="Times New Roman" w:cs="Times New Roman" w:eastAsiaTheme="majorEastAsia"/>
          <w:szCs w:val="21"/>
          <w:lang w:val="en-US" w:eastAsia="zh-CN"/>
        </w:rPr>
        <w:t>3.</w:t>
      </w:r>
      <w:r>
        <w:rPr>
          <w:rFonts w:hint="default" w:ascii="Times New Roman" w:hAnsi="Times New Roman" w:cs="Times New Roman" w:eastAsiaTheme="majorEastAsia"/>
          <w:szCs w:val="21"/>
          <w:lang w:val="en-US" w:eastAsia="zh-CN"/>
        </w:rPr>
        <w:t>答题模板</w:t>
      </w:r>
    </w:p>
    <w:tbl>
      <w:tblPr>
        <w:tblStyle w:val="10"/>
        <w:tblpPr w:leftFromText="180" w:rightFromText="180" w:vertAnchor="text" w:horzAnchor="page" w:tblpX="1353" w:tblpY="402"/>
        <w:tblOverlap w:val="never"/>
        <w:tblW w:w="0" w:type="auto"/>
        <w:tblInd w:w="0"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610"/>
        <w:gridCol w:w="7990"/>
      </w:tblGrid>
      <w:tr w14:paraId="486AB1A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shd w:val="clear" w:color="auto" w:fill="FABF8F" w:themeFill="accent6" w:themeFillTint="99"/>
            <w:vAlign w:val="center"/>
          </w:tcPr>
          <w:p w14:paraId="108A9EE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判断流程</w:t>
            </w:r>
          </w:p>
        </w:tc>
        <w:tc>
          <w:tcPr>
            <w:tcW w:w="7990" w:type="dxa"/>
            <w:tcBorders>
              <w:tl2br w:val="nil"/>
              <w:tr2bl w:val="nil"/>
            </w:tcBorders>
            <w:shd w:val="clear" w:color="auto" w:fill="FABF8F" w:themeFill="accent6" w:themeFillTint="99"/>
            <w:vAlign w:val="center"/>
          </w:tcPr>
          <w:p w14:paraId="20101CF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59F1523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3EBBE3A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定范围</w:t>
            </w:r>
          </w:p>
        </w:tc>
        <w:tc>
          <w:tcPr>
            <w:tcW w:w="7990" w:type="dxa"/>
            <w:tcBorders>
              <w:tl2br w:val="nil"/>
              <w:tr2bl w:val="nil"/>
            </w:tcBorders>
            <w:vAlign w:val="center"/>
          </w:tcPr>
          <w:p w14:paraId="0AEF3216">
            <w:pPr>
              <w:numPr>
                <w:ilvl w:val="0"/>
                <w:numId w:val="0"/>
              </w:numPr>
              <w:spacing w:before="120" w:after="120" w:line="288" w:lineRule="auto"/>
              <w:jc w:val="left"/>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根据物质大小（大分子/小分子）和运输特征（是否穿膜），判断是“胞吞/胞吐”还是“穿膜运输”</w:t>
            </w:r>
          </w:p>
        </w:tc>
      </w:tr>
      <w:tr w14:paraId="019ACC6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71E0C7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抓核心</w:t>
            </w:r>
          </w:p>
        </w:tc>
        <w:tc>
          <w:tcPr>
            <w:tcW w:w="7990" w:type="dxa"/>
            <w:tcBorders>
              <w:tl2br w:val="nil"/>
              <w:tr2bl w:val="nil"/>
            </w:tcBorders>
            <w:vAlign w:val="center"/>
          </w:tcPr>
          <w:p w14:paraId="79949E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针对穿膜运输，提取三个关键信息——①浓度梯度（顺/逆）；②是否需要载体蛋白；③是否需要能量（如题干提及“缺氧影响运输”“钠钾泵”等暗示需能量）</w:t>
            </w:r>
          </w:p>
        </w:tc>
      </w:tr>
      <w:tr w14:paraId="50135EC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373FE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配类型</w:t>
            </w:r>
          </w:p>
        </w:tc>
        <w:tc>
          <w:tcPr>
            <w:tcW w:w="7990" w:type="dxa"/>
            <w:tcBorders>
              <w:tl2br w:val="nil"/>
              <w:tr2bl w:val="nil"/>
            </w:tcBorders>
            <w:vAlign w:val="center"/>
          </w:tcPr>
          <w:p w14:paraId="277DE77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对照三要素表格匹配运输方式，若为曲线/示意图，先转化为“三要素语言”再匹配</w:t>
            </w:r>
          </w:p>
        </w:tc>
      </w:tr>
      <w:tr w14:paraId="693C7C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4E9CB7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验特例</w:t>
            </w:r>
          </w:p>
        </w:tc>
        <w:tc>
          <w:tcPr>
            <w:tcW w:w="7990" w:type="dxa"/>
            <w:tcBorders>
              <w:tl2br w:val="nil"/>
              <w:tr2bl w:val="nil"/>
            </w:tcBorders>
            <w:vAlign w:val="center"/>
          </w:tcPr>
          <w:p w14:paraId="09C30F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结合特殊物质运输方式验证（如葡萄糖的不同运输场景），避免错误判断</w:t>
            </w:r>
          </w:p>
        </w:tc>
      </w:tr>
    </w:tbl>
    <w:p w14:paraId="5857A787">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leftChars="0"/>
        <w:contextualSpacing/>
        <w:textAlignment w:val="center"/>
        <w:rPr>
          <w:rFonts w:hint="default" w:ascii="Times New Roman" w:hAnsi="Times New Roman" w:cs="Times New Roman" w:eastAsiaTheme="majorEastAsia"/>
          <w:szCs w:val="21"/>
          <w:lang w:val="en-US" w:eastAsia="zh-CN"/>
        </w:rPr>
      </w:pPr>
    </w:p>
    <w:p w14:paraId="4E8C1E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0" name="图片 2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6BE389F5">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default" w:ascii="Times New Roman" w:hAnsi="Times New Roman" w:eastAsia="宋体" w:cs="Times New Roman"/>
        </w:rPr>
        <w:t>1．</w:t>
      </w:r>
      <w:r>
        <w:rPr>
          <w:rFonts w:hint="eastAsia" w:ascii="Times New Roman" w:hAnsi="Times New Roman" w:eastAsia="宋体" w:cs="Times New Roman"/>
          <w:b/>
          <w:bCs/>
          <w:color w:val="953735" w:themeColor="accent2" w:themeShade="BF"/>
          <w:lang w:val="en-US" w:eastAsia="zh-CN"/>
        </w:rPr>
        <w:t>（2025·重庆·高考真题）</w:t>
      </w:r>
      <w:r>
        <w:rPr>
          <w:rFonts w:hint="eastAsia" w:ascii="宋体" w:hAnsi="宋体" w:eastAsia="宋体" w:cs="宋体"/>
          <w:sz w:val="21"/>
          <w:szCs w:val="21"/>
        </w:rPr>
        <w:t>骨关节炎是一种难以治愈的常见疾病，研究发现患者软骨细胞膜上的Na</w:t>
      </w:r>
      <w:r>
        <w:rPr>
          <w:rFonts w:hint="eastAsia" w:ascii="宋体" w:hAnsi="宋体" w:eastAsia="宋体" w:cs="宋体"/>
          <w:sz w:val="21"/>
          <w:szCs w:val="21"/>
          <w:vertAlign w:val="superscript"/>
        </w:rPr>
        <w:t>+</w:t>
      </w:r>
      <w:r>
        <w:rPr>
          <w:rFonts w:hint="eastAsia" w:ascii="宋体" w:hAnsi="宋体" w:eastAsia="宋体" w:cs="宋体"/>
          <w:sz w:val="21"/>
          <w:szCs w:val="21"/>
        </w:rPr>
        <w:t>通道蛋白明显多于正常人，从而影响NCX载体蛋白对Ca</w:t>
      </w:r>
      <w:r>
        <w:rPr>
          <w:rFonts w:hint="eastAsia" w:ascii="宋体" w:hAnsi="宋体" w:eastAsia="宋体" w:cs="宋体"/>
          <w:sz w:val="21"/>
          <w:szCs w:val="21"/>
          <w:vertAlign w:val="superscript"/>
        </w:rPr>
        <w:t>2+</w:t>
      </w:r>
      <w:r>
        <w:rPr>
          <w:rFonts w:hint="eastAsia" w:ascii="宋体" w:hAnsi="宋体" w:eastAsia="宋体" w:cs="宋体"/>
          <w:sz w:val="21"/>
          <w:szCs w:val="21"/>
        </w:rPr>
        <w:t>的运输，据图分析，下列叙述错误的是（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1AC6B06F">
      <w:pPr>
        <w:shd w:val="clear" w:color="auto" w:fill="auto"/>
        <w:spacing w:line="360" w:lineRule="auto"/>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095625" cy="1971675"/>
            <wp:effectExtent l="0" t="0" r="3175" b="9525"/>
            <wp:docPr id="100007" name="图片 100007" descr="@@@9f6150c7-29c9-4639-8816-d46ecf6dd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f6150c7-29c9-4639-8816-d46ecf6dd919"/>
                    <pic:cNvPicPr>
                      <a:picLocks noChangeAspect="1"/>
                    </pic:cNvPicPr>
                  </pic:nvPicPr>
                  <pic:blipFill>
                    <a:blip r:embed="rId20"/>
                    <a:stretch>
                      <a:fillRect/>
                    </a:stretch>
                  </pic:blipFill>
                  <pic:spPr>
                    <a:xfrm>
                      <a:off x="0" y="0"/>
                      <a:ext cx="3095625" cy="1971675"/>
                    </a:xfrm>
                    <a:prstGeom prst="rect">
                      <a:avLst/>
                    </a:prstGeom>
                  </pic:spPr>
                </pic:pic>
              </a:graphicData>
            </a:graphic>
          </wp:inline>
        </w:drawing>
      </w:r>
    </w:p>
    <w:p w14:paraId="77C350BC">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A．Na</w:t>
      </w:r>
      <w:r>
        <w:rPr>
          <w:rFonts w:hint="eastAsia" w:ascii="宋体" w:hAnsi="宋体" w:eastAsia="宋体" w:cs="宋体"/>
          <w:sz w:val="21"/>
          <w:szCs w:val="21"/>
          <w:vertAlign w:val="superscript"/>
        </w:rPr>
        <w:t>+</w:t>
      </w:r>
      <w:r>
        <w:rPr>
          <w:rFonts w:hint="eastAsia" w:ascii="宋体" w:hAnsi="宋体" w:eastAsia="宋体" w:cs="宋体"/>
          <w:sz w:val="21"/>
          <w:szCs w:val="21"/>
        </w:rPr>
        <w:t>通道运输Na</w:t>
      </w:r>
      <w:r>
        <w:rPr>
          <w:rFonts w:hint="eastAsia" w:ascii="宋体" w:hAnsi="宋体" w:eastAsia="宋体" w:cs="宋体"/>
          <w:sz w:val="21"/>
          <w:szCs w:val="21"/>
          <w:vertAlign w:val="superscript"/>
        </w:rPr>
        <w:t>+</w:t>
      </w:r>
      <w:r>
        <w:rPr>
          <w:rFonts w:hint="eastAsia" w:ascii="宋体" w:hAnsi="宋体" w:eastAsia="宋体" w:cs="宋体"/>
          <w:sz w:val="21"/>
          <w:szCs w:val="21"/>
        </w:rPr>
        <w:t>不需要消耗ATP</w:t>
      </w:r>
    </w:p>
    <w:p w14:paraId="56019E8B">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B．运输Na</w:t>
      </w:r>
      <w:r>
        <w:rPr>
          <w:rFonts w:hint="eastAsia" w:ascii="宋体" w:hAnsi="宋体" w:eastAsia="宋体" w:cs="宋体"/>
          <w:sz w:val="21"/>
          <w:szCs w:val="21"/>
          <w:vertAlign w:val="superscript"/>
        </w:rPr>
        <w:t>+</w:t>
      </w:r>
      <w:r>
        <w:rPr>
          <w:rFonts w:hint="eastAsia" w:ascii="宋体" w:hAnsi="宋体" w:eastAsia="宋体" w:cs="宋体"/>
          <w:sz w:val="21"/>
          <w:szCs w:val="21"/>
        </w:rPr>
        <w:t>时，Na</w:t>
      </w:r>
      <w:r>
        <w:rPr>
          <w:rFonts w:hint="eastAsia" w:ascii="宋体" w:hAnsi="宋体" w:eastAsia="宋体" w:cs="宋体"/>
          <w:sz w:val="21"/>
          <w:szCs w:val="21"/>
          <w:vertAlign w:val="superscript"/>
        </w:rPr>
        <w:t>+</w:t>
      </w:r>
      <w:r>
        <w:rPr>
          <w:rFonts w:hint="eastAsia" w:ascii="宋体" w:hAnsi="宋体" w:eastAsia="宋体" w:cs="宋体"/>
          <w:sz w:val="21"/>
          <w:szCs w:val="21"/>
        </w:rPr>
        <w:t>通道和NCX载体均需与Na</w:t>
      </w:r>
      <w:r>
        <w:rPr>
          <w:rFonts w:hint="eastAsia" w:ascii="宋体" w:hAnsi="宋体" w:eastAsia="宋体" w:cs="宋体"/>
          <w:sz w:val="21"/>
          <w:szCs w:val="21"/>
          <w:vertAlign w:val="superscript"/>
        </w:rPr>
        <w:t>+</w:t>
      </w:r>
      <w:r>
        <w:rPr>
          <w:rFonts w:hint="eastAsia" w:ascii="宋体" w:hAnsi="宋体" w:eastAsia="宋体" w:cs="宋体"/>
          <w:sz w:val="21"/>
          <w:szCs w:val="21"/>
        </w:rPr>
        <w:t>结合</w:t>
      </w:r>
    </w:p>
    <w:p w14:paraId="427CA93F">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C．患者软骨细胞的Ca</w:t>
      </w:r>
      <w:r>
        <w:rPr>
          <w:rFonts w:hint="eastAsia" w:ascii="宋体" w:hAnsi="宋体" w:eastAsia="宋体" w:cs="宋体"/>
          <w:sz w:val="21"/>
          <w:szCs w:val="21"/>
          <w:vertAlign w:val="superscript"/>
        </w:rPr>
        <w:t>2+</w:t>
      </w:r>
      <w:r>
        <w:rPr>
          <w:rFonts w:hint="eastAsia" w:ascii="宋体" w:hAnsi="宋体" w:eastAsia="宋体" w:cs="宋体"/>
          <w:sz w:val="21"/>
          <w:szCs w:val="21"/>
        </w:rPr>
        <w:t>内流增多</w:t>
      </w:r>
    </w:p>
    <w:p w14:paraId="3CD764D0">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D．与NCX载体相比，Na</w:t>
      </w:r>
      <w:r>
        <w:rPr>
          <w:rFonts w:hint="eastAsia" w:ascii="宋体" w:hAnsi="宋体" w:eastAsia="宋体" w:cs="宋体"/>
          <w:sz w:val="21"/>
          <w:szCs w:val="21"/>
          <w:vertAlign w:val="superscript"/>
        </w:rPr>
        <w:t>+</w:t>
      </w:r>
      <w:r>
        <w:rPr>
          <w:rFonts w:hint="eastAsia" w:ascii="宋体" w:hAnsi="宋体" w:eastAsia="宋体" w:cs="宋体"/>
          <w:sz w:val="21"/>
          <w:szCs w:val="21"/>
        </w:rPr>
        <w:t>通道更适合作为研究药物的靶点</w:t>
      </w:r>
    </w:p>
    <w:p w14:paraId="35AE169F">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【答案】B</w:t>
      </w:r>
    </w:p>
    <w:p w14:paraId="088D28D3">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通道运输Na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属于协助扩散，协助扩散不需要消耗能量，A正确；</w:t>
      </w:r>
    </w:p>
    <w:p w14:paraId="1E96DBDE">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通过通道蛋白时，不需要与通道蛋白结合，B错误；</w:t>
      </w:r>
    </w:p>
    <w:p w14:paraId="627A1B46">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C、因为患者软骨细胞膜上Na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通道蛋白增多，会使Na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内流增多，胞内Na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会积累，NCX载体会将胞内过多的Na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逆浓度排出胞外，需要利用Ca</w:t>
      </w:r>
      <w:r>
        <w:rPr>
          <w:rFonts w:hint="eastAsia" w:ascii="宋体" w:hAnsi="宋体" w:eastAsia="宋体" w:cs="宋体"/>
          <w:color w:val="FF0000"/>
          <w:sz w:val="21"/>
          <w:szCs w:val="21"/>
          <w:vertAlign w:val="superscript"/>
        </w:rPr>
        <w:t>2+</w:t>
      </w:r>
      <w:r>
        <w:rPr>
          <w:rFonts w:hint="eastAsia" w:ascii="宋体" w:hAnsi="宋体" w:eastAsia="宋体" w:cs="宋体"/>
          <w:color w:val="FF0000"/>
          <w:sz w:val="21"/>
          <w:szCs w:val="21"/>
        </w:rPr>
        <w:t>产生的电化学势能提供能量，所以使得Ca</w:t>
      </w:r>
      <w:r>
        <w:rPr>
          <w:rFonts w:hint="eastAsia" w:ascii="宋体" w:hAnsi="宋体" w:eastAsia="宋体" w:cs="宋体"/>
          <w:color w:val="FF0000"/>
          <w:sz w:val="21"/>
          <w:szCs w:val="21"/>
          <w:vertAlign w:val="superscript"/>
        </w:rPr>
        <w:t>2+</w:t>
      </w:r>
      <w:r>
        <w:rPr>
          <w:rFonts w:hint="eastAsia" w:ascii="宋体" w:hAnsi="宋体" w:eastAsia="宋体" w:cs="宋体"/>
          <w:color w:val="FF0000"/>
          <w:sz w:val="21"/>
          <w:szCs w:val="21"/>
        </w:rPr>
        <w:t>内流增多，C正确；</w:t>
      </w:r>
    </w:p>
    <w:p w14:paraId="08402443">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D、因为患者是Na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通道蛋白明显多于正常人从而引发疾病，所以与NCX载体相比，Na</w:t>
      </w:r>
      <w:r>
        <w:rPr>
          <w:rFonts w:hint="eastAsia" w:ascii="宋体" w:hAnsi="宋体" w:eastAsia="宋体" w:cs="宋体"/>
          <w:color w:val="FF0000"/>
          <w:sz w:val="21"/>
          <w:szCs w:val="21"/>
          <w:vertAlign w:val="superscript"/>
        </w:rPr>
        <w:t>+</w:t>
      </w:r>
      <w:r>
        <w:rPr>
          <w:rFonts w:hint="eastAsia" w:ascii="宋体" w:hAnsi="宋体" w:eastAsia="宋体" w:cs="宋体"/>
          <w:color w:val="FF0000"/>
          <w:sz w:val="21"/>
          <w:szCs w:val="21"/>
        </w:rPr>
        <w:t>通道更适合作为研究药物的靶点，D正确。</w:t>
      </w:r>
    </w:p>
    <w:p w14:paraId="63BF29A4">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280"/>
        <w:gridCol w:w="6880"/>
      </w:tblGrid>
      <w:tr w14:paraId="1D97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3253522C">
            <w:pPr>
              <w:shd w:val="clear" w:color="auto" w:fill="auto"/>
              <w:spacing w:line="360" w:lineRule="auto"/>
              <w:jc w:val="both"/>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选项</w:t>
            </w:r>
          </w:p>
        </w:tc>
        <w:tc>
          <w:tcPr>
            <w:tcW w:w="2280" w:type="dxa"/>
            <w:vAlign w:val="center"/>
          </w:tcPr>
          <w:p w14:paraId="66173D93">
            <w:pPr>
              <w:shd w:val="clear" w:color="auto" w:fill="auto"/>
              <w:spacing w:line="360" w:lineRule="auto"/>
              <w:ind w:left="300"/>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关键点</w:t>
            </w:r>
          </w:p>
        </w:tc>
        <w:tc>
          <w:tcPr>
            <w:tcW w:w="6880" w:type="dxa"/>
            <w:vAlign w:val="center"/>
          </w:tcPr>
          <w:p w14:paraId="3E2AE4AD">
            <w:pPr>
              <w:shd w:val="clear" w:color="auto" w:fill="auto"/>
              <w:spacing w:line="360" w:lineRule="auto"/>
              <w:ind w:left="300"/>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关键点解析与易错提醒</w:t>
            </w:r>
          </w:p>
        </w:tc>
      </w:tr>
      <w:tr w14:paraId="7E44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46099520">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A</w:t>
            </w:r>
          </w:p>
        </w:tc>
        <w:tc>
          <w:tcPr>
            <w:tcW w:w="2280" w:type="dxa"/>
            <w:vAlign w:val="center"/>
          </w:tcPr>
          <w:p w14:paraId="1CC7EF3A">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通道蛋白的运输特点</w:t>
            </w:r>
          </w:p>
        </w:tc>
        <w:tc>
          <w:tcPr>
            <w:tcW w:w="6880" w:type="dxa"/>
            <w:vAlign w:val="center"/>
          </w:tcPr>
          <w:p w14:paraId="653A7EB0">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Na+通过通道蛋白是</w:t>
            </w: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顺浓度梯度</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的</w:t>
            </w: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协助扩散</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，此过程不消耗ATP。</w:t>
            </w:r>
          </w:p>
        </w:tc>
      </w:tr>
      <w:tr w14:paraId="4205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678FB150">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B</w:t>
            </w:r>
          </w:p>
        </w:tc>
        <w:tc>
          <w:tcPr>
            <w:tcW w:w="2280" w:type="dxa"/>
            <w:vAlign w:val="center"/>
          </w:tcPr>
          <w:p w14:paraId="79645D13">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通道蛋白与载体蛋白的作用机制</w:t>
            </w:r>
          </w:p>
        </w:tc>
        <w:tc>
          <w:tcPr>
            <w:tcW w:w="6880" w:type="dxa"/>
            <w:vAlign w:val="center"/>
          </w:tcPr>
          <w:p w14:paraId="20E0044F">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通道蛋白</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仅形成通道，离子直接通过，</w:t>
            </w: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无需结合</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；而</w:t>
            </w: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载体蛋白</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必须与转运物质</w:t>
            </w: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特异性结合</w:t>
            </w: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并发生构象改变。这是两者最根本的区别。</w:t>
            </w:r>
          </w:p>
        </w:tc>
      </w:tr>
      <w:tr w14:paraId="567A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11697F97">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C</w:t>
            </w:r>
          </w:p>
        </w:tc>
        <w:tc>
          <w:tcPr>
            <w:tcW w:w="2280" w:type="dxa"/>
            <w:vAlign w:val="center"/>
          </w:tcPr>
          <w:p w14:paraId="01A3B388">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离子运输的联动效应（次级主动运输）</w:t>
            </w:r>
          </w:p>
        </w:tc>
        <w:tc>
          <w:tcPr>
            <w:tcW w:w="6880" w:type="dxa"/>
            <w:vAlign w:val="center"/>
          </w:tcPr>
          <w:p w14:paraId="291295C8">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推理链：Na+通道增多 → Na+内流增多 → 胞内Na+浓度升高 → 为维持Na+平衡，NCX（钠钙交换体）活动增强 → NCX利用Na+外流的电化学势能将Ca2+运入胞内（反向转运）→ 导致</w:t>
            </w:r>
          </w:p>
        </w:tc>
      </w:tr>
      <w:tr w14:paraId="725A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229086CE">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D</w:t>
            </w:r>
          </w:p>
        </w:tc>
        <w:tc>
          <w:tcPr>
            <w:tcW w:w="2280" w:type="dxa"/>
            <w:vAlign w:val="center"/>
          </w:tcPr>
          <w:p w14:paraId="3E617342">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Style w:val="12"/>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药物靶点选择的逻辑</w:t>
            </w:r>
          </w:p>
        </w:tc>
        <w:tc>
          <w:tcPr>
            <w:tcW w:w="6880" w:type="dxa"/>
            <w:vAlign w:val="center"/>
          </w:tcPr>
          <w:p w14:paraId="344FC74B">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b w:val="0"/>
                <w:bCs w:val="0"/>
                <w:i w:val="0"/>
                <w:iCs w:val="0"/>
                <w:caps w:val="0"/>
                <w:color w:val="FF0000"/>
                <w:spacing w:val="0"/>
                <w:kern w:val="0"/>
                <w:sz w:val="21"/>
                <w:szCs w:val="21"/>
                <w:lang w:val="en-US" w:eastAsia="zh-CN" w:bidi="ar"/>
              </w:rPr>
              <w:t>题干明确指出疾病源于“Na+通道蛋白明显多于正常人”，因此直接针对病因（Na+通道）进行干预，比针对下游受影响蛋白（NCX载体）更根本、更有效。</w:t>
            </w:r>
          </w:p>
        </w:tc>
      </w:tr>
    </w:tbl>
    <w:p w14:paraId="1F0105C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eastAsia="微软雅黑" w:cs="Times New Roman"/>
          <w:b/>
          <w:bCs/>
          <w:color w:val="FF0000"/>
          <w:kern w:val="0"/>
          <w:sz w:val="21"/>
          <w:szCs w:val="21"/>
          <w:u w:val="none"/>
          <w:shd w:val="clear" w:color="FFFFFF" w:fill="D9D9D9"/>
          <w:lang w:val="en-US" w:eastAsia="zh-CN" w:bidi="ar"/>
        </w:rPr>
      </w:pPr>
    </w:p>
    <w:p w14:paraId="0B90EE9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0DB16D81">
      <w:pPr>
        <w:pStyle w:val="4"/>
        <w:tabs>
          <w:tab w:val="left" w:pos="3969"/>
        </w:tabs>
        <w:spacing w:line="360" w:lineRule="auto"/>
        <w:rPr>
          <w:rFonts w:hint="eastAsia" w:ascii="Times New Roman" w:hAnsi="Times New Roman" w:cs="Times New Roman"/>
          <w:sz w:val="24"/>
          <w:szCs w:val="24"/>
        </w:rPr>
      </w:pPr>
      <w:r>
        <w:rPr>
          <w:rFonts w:hint="default" w:ascii="Times New Roman" w:hAnsi="Times New Roman" w:cs="Times New Roman" w:eastAsiaTheme="majorEastAsia"/>
        </w:rPr>
        <w:t>1．</w:t>
      </w:r>
      <w:r>
        <w:rPr>
          <w:rFonts w:ascii="Times New Roman" w:hAnsi="Times New Roman" w:cs="Times New Roman"/>
          <w:sz w:val="24"/>
          <w:szCs w:val="24"/>
        </w:rPr>
        <w:t>如图表示小鼠小肠上皮细胞对不同浓度葡萄糖的吸收速率，下列说法错误的是(　　)</w:t>
      </w:r>
    </w:p>
    <w:p w14:paraId="744A420D">
      <w:pPr>
        <w:pStyle w:val="4"/>
        <w:tabs>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501140" cy="1329055"/>
            <wp:effectExtent l="0" t="0" r="10160" b="4445"/>
            <wp:docPr id="24" name="图片 3" descr="说明: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说明: A28"/>
                    <pic:cNvPicPr>
                      <a:picLocks noChangeAspect="1"/>
                    </pic:cNvPicPr>
                  </pic:nvPicPr>
                  <pic:blipFill>
                    <a:blip r:embed="rId21"/>
                    <a:stretch>
                      <a:fillRect/>
                    </a:stretch>
                  </pic:blipFill>
                  <pic:spPr>
                    <a:xfrm>
                      <a:off x="0" y="0"/>
                      <a:ext cx="1501140" cy="1329055"/>
                    </a:xfrm>
                    <a:prstGeom prst="rect">
                      <a:avLst/>
                    </a:prstGeom>
                    <a:noFill/>
                    <a:ln>
                      <a:noFill/>
                    </a:ln>
                  </pic:spPr>
                </pic:pic>
              </a:graphicData>
            </a:graphic>
          </wp:inline>
        </w:drawing>
      </w:r>
    </w:p>
    <w:p w14:paraId="753D1B50">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A.葡萄糖不能直接通过磷脂双分子层，需要借助转运蛋白</w:t>
      </w:r>
    </w:p>
    <w:p w14:paraId="20B86D64">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B.肠腔葡萄糖浓度为100时，葡萄糖吸收速率达到饱和</w:t>
      </w:r>
    </w:p>
    <w:p w14:paraId="743640B4">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C.进食后小鼠小肠上皮细胞可能主要通过协助扩散吸收葡萄糖</w:t>
      </w:r>
    </w:p>
    <w:p w14:paraId="63E3BAD5">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D.小肠上皮细胞对葡萄糖的主动运输减少了食物中葡萄糖的</w:t>
      </w:r>
      <w:r>
        <w:rPr>
          <w:rFonts w:hint="eastAsia" w:ascii="Times New Roman" w:hAnsi="Times New Roman" w:cs="Times New Roman"/>
          <w:sz w:val="24"/>
          <w:szCs w:val="24"/>
        </w:rPr>
        <w:t>浪费</w:t>
      </w:r>
    </w:p>
    <w:p w14:paraId="7749015F">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bCs/>
          <w:iCs/>
          <w:spacing w:val="-8"/>
          <w:szCs w:val="21"/>
          <w:lang w:val="en-US" w:eastAsia="zh-CN"/>
        </w:rPr>
      </w:pPr>
    </w:p>
    <w:p w14:paraId="34ABD497">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【答案】</w:t>
      </w:r>
      <w:r>
        <w:rPr>
          <w:rFonts w:hint="eastAsia" w:asciiTheme="minorEastAsia" w:hAnsiTheme="minorEastAsia" w:eastAsiaTheme="minorEastAsia" w:cstheme="minorEastAsia"/>
          <w:color w:val="FF0000"/>
          <w:sz w:val="21"/>
          <w:szCs w:val="21"/>
        </w:rPr>
        <w:t>B</w:t>
      </w:r>
    </w:p>
    <w:p w14:paraId="297A6D24">
      <w:pPr>
        <w:pStyle w:val="4"/>
        <w:tabs>
          <w:tab w:val="left" w:pos="3969"/>
        </w:tabs>
        <w:spacing w:line="36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解析　葡萄糖分子较大，不能直接通过磷脂双分子层，需要借助转运蛋白，A正确；肠腔葡萄糖浓度为100时，主动运输速率不再增加，但不能确定葡萄糖吸收速率是否达到饱和，B错误；据图可知，肠腔葡萄糖浓度较高时，协助扩散速率大于主动运输速率，进食后小鼠小肠上皮细胞可能主要通过协助扩散吸收葡萄糖，C正确；小肠上皮细胞对葡萄糖的主动运输可充分吸收葡萄糖，减少了食物中葡萄糖的浪费，D正确。</w:t>
      </w:r>
    </w:p>
    <w:p w14:paraId="41DDB2F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100"/>
        <w:gridCol w:w="7060"/>
      </w:tblGrid>
      <w:tr w14:paraId="08EF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386636F5">
            <w:pPr>
              <w:shd w:val="clear" w:color="auto" w:fill="auto"/>
              <w:spacing w:line="360" w:lineRule="auto"/>
              <w:jc w:val="both"/>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选项</w:t>
            </w:r>
          </w:p>
        </w:tc>
        <w:tc>
          <w:tcPr>
            <w:tcW w:w="2100" w:type="dxa"/>
            <w:vAlign w:val="center"/>
          </w:tcPr>
          <w:p w14:paraId="3851A912">
            <w:pPr>
              <w:shd w:val="clear" w:color="auto" w:fill="auto"/>
              <w:spacing w:line="360" w:lineRule="auto"/>
              <w:ind w:left="300"/>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关键点</w:t>
            </w:r>
          </w:p>
        </w:tc>
        <w:tc>
          <w:tcPr>
            <w:tcW w:w="7060" w:type="dxa"/>
            <w:vAlign w:val="center"/>
          </w:tcPr>
          <w:p w14:paraId="344F1075">
            <w:pPr>
              <w:shd w:val="clear" w:color="auto" w:fill="auto"/>
              <w:spacing w:line="360" w:lineRule="auto"/>
              <w:ind w:left="300"/>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关键点解析与易错提醒</w:t>
            </w:r>
          </w:p>
        </w:tc>
      </w:tr>
      <w:tr w14:paraId="6B62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0EF395FE">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A</w:t>
            </w:r>
          </w:p>
        </w:tc>
        <w:tc>
          <w:tcPr>
            <w:tcW w:w="2100" w:type="dxa"/>
            <w:vAlign w:val="center"/>
          </w:tcPr>
          <w:p w14:paraId="1401644A">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葡萄糖通过膜的方式</w:t>
            </w:r>
          </w:p>
        </w:tc>
        <w:tc>
          <w:tcPr>
            <w:tcW w:w="7060" w:type="dxa"/>
            <w:vAlign w:val="center"/>
          </w:tcPr>
          <w:p w14:paraId="155529B0">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葡萄糖是亲水性分子，需借助转运蛋白才能通过细胞膜。</w:t>
            </w:r>
          </w:p>
        </w:tc>
      </w:tr>
      <w:tr w14:paraId="7B67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467248BB">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B</w:t>
            </w:r>
          </w:p>
        </w:tc>
        <w:tc>
          <w:tcPr>
            <w:tcW w:w="2100" w:type="dxa"/>
            <w:vAlign w:val="center"/>
          </w:tcPr>
          <w:p w14:paraId="769006EE">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吸收速率是否饱和</w:t>
            </w:r>
          </w:p>
        </w:tc>
        <w:tc>
          <w:tcPr>
            <w:tcW w:w="7060" w:type="dxa"/>
            <w:vAlign w:val="center"/>
          </w:tcPr>
          <w:p w14:paraId="1656ED14">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主动运输速率在浓度为100时饱和，但协助扩散速率仍在增长，总吸收速率未达最大。</w:t>
            </w:r>
          </w:p>
        </w:tc>
      </w:tr>
      <w:tr w14:paraId="1DC5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552D2900">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C</w:t>
            </w:r>
          </w:p>
        </w:tc>
        <w:tc>
          <w:tcPr>
            <w:tcW w:w="2100" w:type="dxa"/>
            <w:vAlign w:val="center"/>
          </w:tcPr>
          <w:p w14:paraId="6A1F7CA6">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高浓度下的主要吸收方式</w:t>
            </w:r>
          </w:p>
        </w:tc>
        <w:tc>
          <w:tcPr>
            <w:tcW w:w="7060" w:type="dxa"/>
            <w:vAlign w:val="center"/>
          </w:tcPr>
          <w:p w14:paraId="57C31F5E">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据图，高浓度时协助扩散速率显著高于主动运输速率。</w:t>
            </w:r>
          </w:p>
        </w:tc>
      </w:tr>
      <w:tr w14:paraId="1D18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61F1C3F2">
            <w:pPr>
              <w:shd w:val="clear" w:color="auto" w:fill="auto"/>
              <w:spacing w:line="360" w:lineRule="auto"/>
              <w:jc w:val="center"/>
              <w:textAlignment w:val="center"/>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D</w:t>
            </w:r>
          </w:p>
        </w:tc>
        <w:tc>
          <w:tcPr>
            <w:tcW w:w="2100" w:type="dxa"/>
            <w:vAlign w:val="center"/>
          </w:tcPr>
          <w:p w14:paraId="448BD876">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主动运输的生理意义</w:t>
            </w:r>
          </w:p>
        </w:tc>
        <w:tc>
          <w:tcPr>
            <w:tcW w:w="7060" w:type="dxa"/>
            <w:vAlign w:val="center"/>
          </w:tcPr>
          <w:p w14:paraId="594DA420">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主动运输能充分利用低浓度下的葡萄糖，减少浪费。</w:t>
            </w:r>
          </w:p>
        </w:tc>
      </w:tr>
    </w:tbl>
    <w:p w14:paraId="7F428AF4">
      <w:pPr>
        <w:pStyle w:val="4"/>
        <w:tabs>
          <w:tab w:val="left" w:pos="3969"/>
        </w:tabs>
        <w:spacing w:line="360" w:lineRule="auto"/>
        <w:rPr>
          <w:rFonts w:ascii="Times New Roman" w:hAnsi="Times New Roman" w:cs="Times New Roman"/>
          <w:sz w:val="24"/>
          <w:szCs w:val="24"/>
        </w:rPr>
      </w:pPr>
      <w:r>
        <w:rPr>
          <w:rFonts w:hint="default" w:ascii="Times New Roman" w:hAnsi="Times New Roman" w:cs="Times New Roman" w:eastAsiaTheme="majorEastAsia"/>
        </w:rPr>
        <w:t>2．</w:t>
      </w: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跨膜运输会使细胞内pH发生改变，引</w:t>
      </w:r>
      <w:r>
        <w:rPr>
          <w:rFonts w:hint="eastAsia" w:ascii="Times New Roman" w:hAnsi="Times New Roman" w:cs="Times New Roman"/>
          <w:sz w:val="24"/>
          <w:szCs w:val="24"/>
        </w:rPr>
        <w:t>起洋葱表皮细胞花青素颜色由浅紫色逐渐变为深蓝色。加入细胞呼吸抑制剂后，颜色的改变过程减缓。根据以上信息，下列分析不合理的是</w:t>
      </w:r>
      <w:r>
        <w:rPr>
          <w:rFonts w:ascii="Times New Roman" w:hAnsi="Times New Roman" w:cs="Times New Roman"/>
          <w:sz w:val="24"/>
          <w:szCs w:val="24"/>
        </w:rPr>
        <w:t>(　　)</w:t>
      </w:r>
    </w:p>
    <w:p w14:paraId="705C49CF">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A.花青素颜色不同时，细胞液的pH不同</w:t>
      </w:r>
    </w:p>
    <w:p w14:paraId="5F743E05">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B.Na</w:t>
      </w:r>
      <w:r>
        <w:rPr>
          <w:rFonts w:ascii="Times New Roman" w:hAnsi="Times New Roman" w:cs="Times New Roman"/>
          <w:sz w:val="24"/>
          <w:szCs w:val="24"/>
          <w:vertAlign w:val="superscript"/>
        </w:rPr>
        <w:t>＋</w:t>
      </w:r>
      <w:r>
        <w:rPr>
          <w:rFonts w:ascii="Times New Roman" w:hAnsi="Times New Roman" w:cs="Times New Roman"/>
          <w:sz w:val="24"/>
          <w:szCs w:val="24"/>
        </w:rPr>
        <w:t>的跨膜运输需要膜载体蛋白的协助</w:t>
      </w:r>
    </w:p>
    <w:p w14:paraId="2CB13D0C">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C.Na</w:t>
      </w:r>
      <w:r>
        <w:rPr>
          <w:rFonts w:ascii="Times New Roman" w:hAnsi="Times New Roman" w:cs="Times New Roman"/>
          <w:sz w:val="24"/>
          <w:szCs w:val="24"/>
          <w:vertAlign w:val="superscript"/>
        </w:rPr>
        <w:t>＋</w:t>
      </w:r>
      <w:r>
        <w:rPr>
          <w:rFonts w:ascii="Times New Roman" w:hAnsi="Times New Roman" w:cs="Times New Roman"/>
          <w:sz w:val="24"/>
          <w:szCs w:val="24"/>
        </w:rPr>
        <w:t>浓度是限制其跨膜运输速率的主要因素</w:t>
      </w:r>
    </w:p>
    <w:p w14:paraId="0834BDFF">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D.Na</w:t>
      </w:r>
      <w:r>
        <w:rPr>
          <w:rFonts w:ascii="Times New Roman" w:hAnsi="Times New Roman" w:cs="Times New Roman"/>
          <w:sz w:val="24"/>
          <w:szCs w:val="24"/>
          <w:vertAlign w:val="superscript"/>
        </w:rPr>
        <w:t>＋</w:t>
      </w:r>
      <w:r>
        <w:rPr>
          <w:rFonts w:ascii="Times New Roman" w:hAnsi="Times New Roman" w:cs="Times New Roman"/>
          <w:sz w:val="24"/>
          <w:szCs w:val="24"/>
        </w:rPr>
        <w:t>的跨膜运输方式是主动运输，会消耗ATP</w:t>
      </w:r>
    </w:p>
    <w:p w14:paraId="6BC19E0A">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heme="minorEastAsia" w:hAnsiTheme="minorEastAsia" w:eastAsiaTheme="minorEastAsia" w:cstheme="minorEastAsia"/>
          <w:b/>
          <w:bCs/>
          <w:color w:val="FF0000"/>
          <w:sz w:val="21"/>
          <w:szCs w:val="21"/>
        </w:rPr>
      </w:pPr>
      <w:r>
        <w:rPr>
          <w:rFonts w:hint="default" w:asciiTheme="minorEastAsia" w:hAnsiTheme="minorEastAsia" w:eastAsiaTheme="minorEastAsia" w:cstheme="minorEastAsia"/>
          <w:b/>
          <w:bCs/>
          <w:color w:val="FF0000"/>
          <w:sz w:val="21"/>
          <w:szCs w:val="21"/>
        </w:rPr>
        <w:t>【答案】</w:t>
      </w:r>
      <w:r>
        <w:rPr>
          <w:rFonts w:hint="eastAsia" w:asciiTheme="minorEastAsia" w:hAnsiTheme="minorEastAsia" w:eastAsiaTheme="minorEastAsia" w:cstheme="minorEastAsia"/>
          <w:b/>
          <w:bCs/>
          <w:color w:val="FF0000"/>
          <w:sz w:val="21"/>
          <w:szCs w:val="21"/>
        </w:rPr>
        <w:t>C</w:t>
      </w:r>
    </w:p>
    <w:p w14:paraId="4D40B449">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解析　加入细胞呼吸抑制剂后，颜色的改变过程减缓，说明Na＋通过主动运输的方式跨膜运输，影响主动运输的因素主要是载体蛋白和能量。</w:t>
      </w:r>
    </w:p>
    <w:p w14:paraId="5AC2D511">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heme="minorEastAsia" w:hAnsiTheme="minorEastAsia" w:eastAsiaTheme="minorEastAsia" w:cstheme="minorEastAsia"/>
          <w:b/>
          <w:bCs/>
          <w:color w:val="FF0000"/>
          <w:sz w:val="21"/>
          <w:szCs w:val="21"/>
          <w:lang w:val="en-US" w:eastAsia="zh-CN"/>
        </w:rPr>
      </w:pPr>
      <w:r>
        <w:rPr>
          <w:rFonts w:hint="default" w:asciiTheme="minorEastAsia" w:hAnsiTheme="minorEastAsia" w:eastAsiaTheme="minorEastAsia" w:cstheme="minorEastAsia"/>
          <w:b/>
          <w:bCs/>
          <w:color w:val="FF0000"/>
          <w:sz w:val="21"/>
          <w:szCs w:val="21"/>
          <w:lang w:val="en-US" w:eastAsia="zh-CN"/>
        </w:rPr>
        <w:t>【思路导航】</w:t>
      </w:r>
    </w:p>
    <w:tbl>
      <w:tblPr>
        <w:tblStyle w:val="10"/>
        <w:tblW w:w="0" w:type="auto"/>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100"/>
        <w:gridCol w:w="7060"/>
      </w:tblGrid>
      <w:tr w14:paraId="6295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26C5C7B6">
            <w:pPr>
              <w:shd w:val="clear" w:color="auto" w:fill="auto"/>
              <w:spacing w:line="360" w:lineRule="auto"/>
              <w:jc w:val="both"/>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选项</w:t>
            </w:r>
          </w:p>
        </w:tc>
        <w:tc>
          <w:tcPr>
            <w:tcW w:w="2100" w:type="dxa"/>
            <w:vAlign w:val="center"/>
          </w:tcPr>
          <w:p w14:paraId="6432B35D">
            <w:pPr>
              <w:shd w:val="clear" w:color="auto" w:fill="auto"/>
              <w:spacing w:line="360" w:lineRule="auto"/>
              <w:ind w:left="300"/>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关键点</w:t>
            </w:r>
          </w:p>
        </w:tc>
        <w:tc>
          <w:tcPr>
            <w:tcW w:w="7060" w:type="dxa"/>
            <w:vAlign w:val="center"/>
          </w:tcPr>
          <w:p w14:paraId="2B17B892">
            <w:pPr>
              <w:shd w:val="clear" w:color="auto" w:fill="auto"/>
              <w:spacing w:line="360" w:lineRule="auto"/>
              <w:ind w:left="300"/>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关键点解析与易错提醒</w:t>
            </w:r>
          </w:p>
        </w:tc>
      </w:tr>
      <w:tr w14:paraId="5C34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088339B1">
            <w:pPr>
              <w:shd w:val="clear" w:color="auto" w:fill="auto"/>
              <w:spacing w:line="360" w:lineRule="auto"/>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A</w:t>
            </w:r>
          </w:p>
        </w:tc>
        <w:tc>
          <w:tcPr>
            <w:tcW w:w="2100" w:type="dxa"/>
            <w:vAlign w:val="center"/>
          </w:tcPr>
          <w:p w14:paraId="7A9C1A96">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花青素在不同pH下显色不同，颜色变化说明pH变化</w:t>
            </w:r>
          </w:p>
        </w:tc>
        <w:tc>
          <w:tcPr>
            <w:tcW w:w="7060" w:type="dxa"/>
            <w:vAlign w:val="center"/>
          </w:tcPr>
          <w:p w14:paraId="7FACDC24">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花青素是天然的pH指示剂，其颜色与细胞液pH直接相关</w:t>
            </w:r>
          </w:p>
        </w:tc>
      </w:tr>
      <w:tr w14:paraId="7716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7764D332">
            <w:pPr>
              <w:shd w:val="clear" w:color="auto" w:fill="auto"/>
              <w:spacing w:line="360" w:lineRule="auto"/>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B</w:t>
            </w:r>
          </w:p>
        </w:tc>
        <w:tc>
          <w:tcPr>
            <w:tcW w:w="2100" w:type="dxa"/>
            <w:vAlign w:val="center"/>
          </w:tcPr>
          <w:p w14:paraId="74C2234D">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Na⁺作为带电离子，必须借助载体蛋白才能跨膜运输</w:t>
            </w:r>
          </w:p>
        </w:tc>
        <w:tc>
          <w:tcPr>
            <w:tcW w:w="7060" w:type="dxa"/>
            <w:vAlign w:val="center"/>
          </w:tcPr>
          <w:p w14:paraId="02E82B58">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离子无法自由通过磷脂双分子层，必须依赖膜转运蛋白</w:t>
            </w:r>
          </w:p>
        </w:tc>
      </w:tr>
      <w:tr w14:paraId="59E6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11F46996">
            <w:pPr>
              <w:shd w:val="clear" w:color="auto" w:fill="auto"/>
              <w:spacing w:line="360" w:lineRule="auto"/>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C</w:t>
            </w:r>
          </w:p>
        </w:tc>
        <w:tc>
          <w:tcPr>
            <w:tcW w:w="2100" w:type="dxa"/>
            <w:vAlign w:val="center"/>
          </w:tcPr>
          <w:p w14:paraId="5A50BE4B">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主动运输的速率主要受能量供应和载体数量限制</w:t>
            </w:r>
          </w:p>
        </w:tc>
        <w:tc>
          <w:tcPr>
            <w:tcW w:w="7060" w:type="dxa"/>
            <w:vAlign w:val="center"/>
          </w:tcPr>
          <w:p w14:paraId="7403B24B">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i w:val="0"/>
                <w:iCs w:val="0"/>
                <w:caps w:val="0"/>
                <w:color w:val="FF0000"/>
                <w:spacing w:val="0"/>
                <w:kern w:val="0"/>
                <w:sz w:val="21"/>
                <w:szCs w:val="21"/>
                <w:lang w:val="en-US" w:eastAsia="zh-CN" w:bidi="ar"/>
              </w:rPr>
              <w:t>呼吸抑制剂实验证明能量是主要限制因素，而非Na⁺浓度</w:t>
            </w:r>
          </w:p>
        </w:tc>
      </w:tr>
      <w:tr w14:paraId="5B57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0B683254">
            <w:pPr>
              <w:shd w:val="clear" w:color="auto" w:fill="auto"/>
              <w:spacing w:line="360" w:lineRule="auto"/>
              <w:jc w:val="center"/>
              <w:textAlignment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D</w:t>
            </w:r>
          </w:p>
        </w:tc>
        <w:tc>
          <w:tcPr>
            <w:tcW w:w="2100" w:type="dxa"/>
            <w:vAlign w:val="center"/>
          </w:tcPr>
          <w:p w14:paraId="6B30C939">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color w:val="FF0000"/>
                <w:sz w:val="21"/>
                <w:szCs w:val="21"/>
              </w:rPr>
              <w:t>呼吸抑制剂影响该过程，说明运输依赖呼吸供能</w:t>
            </w:r>
          </w:p>
        </w:tc>
        <w:tc>
          <w:tcPr>
            <w:tcW w:w="7060" w:type="dxa"/>
            <w:vAlign w:val="center"/>
          </w:tcPr>
          <w:p w14:paraId="743548F2">
            <w:pPr>
              <w:keepNext w:val="0"/>
              <w:keepLines w:val="0"/>
              <w:widowControl/>
              <w:suppressLineNumbers w:val="0"/>
              <w:jc w:val="left"/>
              <w:rPr>
                <w:rFonts w:hint="eastAsia" w:asciiTheme="minorEastAsia" w:hAnsiTheme="minorEastAsia" w:eastAsiaTheme="minorEastAsia" w:cstheme="minorEastAsia"/>
                <w:b w:val="0"/>
                <w:bCs w:val="0"/>
                <w:color w:val="FF0000"/>
                <w:sz w:val="21"/>
                <w:szCs w:val="21"/>
                <w:lang w:val="en-US" w:eastAsia="zh-CN"/>
              </w:rPr>
            </w:pPr>
            <w:r>
              <w:rPr>
                <w:rFonts w:hint="eastAsia" w:asciiTheme="minorEastAsia" w:hAnsiTheme="minorEastAsia" w:eastAsiaTheme="minorEastAsia" w:cstheme="minorEastAsia"/>
                <w:color w:val="FF0000"/>
                <w:sz w:val="21"/>
                <w:szCs w:val="21"/>
              </w:rPr>
              <w:t>只有主动运输需要消耗ATP，受呼吸抑制剂影响</w:t>
            </w:r>
          </w:p>
        </w:tc>
      </w:tr>
    </w:tbl>
    <w:p w14:paraId="654BEDF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BE6D48-3A6E-4F8E-9754-E7F0089F6C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9E53FBA4-6333-4A8C-9094-039EEF1990F0}"/>
  </w:font>
  <w:font w:name="仿宋">
    <w:panose1 w:val="02010609060101010101"/>
    <w:charset w:val="86"/>
    <w:family w:val="auto"/>
    <w:pitch w:val="default"/>
    <w:sig w:usb0="800002BF" w:usb1="38CF7CFA" w:usb2="00000016" w:usb3="00000000" w:csb0="00040001" w:csb1="00000000"/>
    <w:embedRegular r:id="rId3" w:fontKey="{6D08F0B7-8D63-463A-B3A5-5AD4ADD76434}"/>
  </w:font>
  <w:font w:name="Noto Sans SC">
    <w:panose1 w:val="020B0200000000000000"/>
    <w:charset w:val="86"/>
    <w:family w:val="auto"/>
    <w:pitch w:val="default"/>
    <w:sig w:usb0="20000083" w:usb1="2ADF3C10" w:usb2="00000016" w:usb3="00000000" w:csb0="60060107" w:csb1="00000000"/>
    <w:embedRegular r:id="rId4" w:fontKey="{DBD68065-F26F-4AB4-BEA8-47AD3C36C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E6EA">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719E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29719EF">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4" o:spt="136" alt="学科网 zxxk.com" type="#_x0000_t136" style="position:absolute;left:0pt;margin-left:158.95pt;margin-top:407.9pt;height:2.8pt;width:2.8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pt;width:2.8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4FB0DF8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7"/>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5E7763EE">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302010"/>
    <w:multiLevelType w:val="singleLevel"/>
    <w:tmpl w:val="FC302010"/>
    <w:lvl w:ilvl="0" w:tentative="0">
      <w:start w:val="1"/>
      <w:numFmt w:val="decimal"/>
      <w:lvlText w:val="%1."/>
      <w:lvlJc w:val="left"/>
      <w:pPr>
        <w:tabs>
          <w:tab w:val="left" w:pos="312"/>
        </w:tabs>
      </w:pPr>
    </w:lvl>
  </w:abstractNum>
  <w:abstractNum w:abstractNumId="1">
    <w:nsid w:val="5F1DEB6D"/>
    <w:multiLevelType w:val="singleLevel"/>
    <w:tmpl w:val="5F1DEB6D"/>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3D479D5"/>
    <w:rsid w:val="05D666E9"/>
    <w:rsid w:val="0E127591"/>
    <w:rsid w:val="11F961C2"/>
    <w:rsid w:val="1A7508C7"/>
    <w:rsid w:val="1D105040"/>
    <w:rsid w:val="1FA616CA"/>
    <w:rsid w:val="21F15F31"/>
    <w:rsid w:val="240E00BA"/>
    <w:rsid w:val="26E905C0"/>
    <w:rsid w:val="2E3D144C"/>
    <w:rsid w:val="2F111F62"/>
    <w:rsid w:val="345E0335"/>
    <w:rsid w:val="379C562F"/>
    <w:rsid w:val="37B00EE0"/>
    <w:rsid w:val="3B1705C1"/>
    <w:rsid w:val="3F4007CD"/>
    <w:rsid w:val="41072473"/>
    <w:rsid w:val="4C45549B"/>
    <w:rsid w:val="501F3A46"/>
    <w:rsid w:val="51A53A3C"/>
    <w:rsid w:val="54037CA3"/>
    <w:rsid w:val="55AF59D4"/>
    <w:rsid w:val="58205520"/>
    <w:rsid w:val="5C7957D0"/>
    <w:rsid w:val="5E4378DD"/>
    <w:rsid w:val="636763A1"/>
    <w:rsid w:val="657D326A"/>
    <w:rsid w:val="6A8D2838"/>
    <w:rsid w:val="6E4F3D89"/>
    <w:rsid w:val="72C71C47"/>
    <w:rsid w:val="DBA77A08"/>
    <w:rsid w:val="FFFFD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16"/>
    <w:qFormat/>
    <w:uiPriority w:val="0"/>
    <w:rPr>
      <w:rFonts w:ascii="宋体" w:hAnsi="Courier New" w:cs="Courier New"/>
      <w:szCs w:val="21"/>
    </w:rPr>
  </w:style>
  <w:style w:type="paragraph" w:styleId="5">
    <w:name w:val="Balloon Text"/>
    <w:basedOn w:val="1"/>
    <w:link w:val="18"/>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qFormat/>
    <w:uiPriority w:val="0"/>
    <w:rPr>
      <w:color w:val="800080"/>
      <w:u w:val="single"/>
    </w:rPr>
  </w:style>
  <w:style w:type="character" w:styleId="14">
    <w:name w:val="Hyperlink"/>
    <w:basedOn w:val="11"/>
    <w:semiHidden/>
    <w:unhideWhenUsed/>
    <w:qFormat/>
    <w:uiPriority w:val="99"/>
    <w:rPr>
      <w:color w:val="0000FF"/>
      <w:u w:val="single"/>
    </w:rPr>
  </w:style>
  <w:style w:type="character" w:customStyle="1" w:styleId="15">
    <w:name w:val="标题 2 字符"/>
    <w:basedOn w:val="11"/>
    <w:link w:val="2"/>
    <w:qFormat/>
    <w:uiPriority w:val="9"/>
    <w:rPr>
      <w:rFonts w:ascii="宋体" w:hAnsi="宋体" w:eastAsia="宋体" w:cs="Times New Roman"/>
      <w:b/>
      <w:bCs/>
      <w:kern w:val="0"/>
      <w:sz w:val="36"/>
      <w:szCs w:val="36"/>
    </w:rPr>
  </w:style>
  <w:style w:type="character" w:customStyle="1" w:styleId="16">
    <w:name w:val="纯文本 字符"/>
    <w:basedOn w:val="11"/>
    <w:link w:val="4"/>
    <w:qFormat/>
    <w:uiPriority w:val="0"/>
    <w:rPr>
      <w:rFonts w:ascii="宋体" w:hAnsi="Courier New" w:cs="Courier New"/>
      <w:szCs w:val="21"/>
    </w:rPr>
  </w:style>
  <w:style w:type="character" w:customStyle="1" w:styleId="17">
    <w:name w:val="页眉 字符"/>
    <w:basedOn w:val="11"/>
    <w:link w:val="7"/>
    <w:qFormat/>
    <w:uiPriority w:val="0"/>
    <w:rPr>
      <w:sz w:val="18"/>
      <w:szCs w:val="24"/>
    </w:rPr>
  </w:style>
  <w:style w:type="character" w:customStyle="1" w:styleId="18">
    <w:name w:val="批注框文本 字符"/>
    <w:basedOn w:val="11"/>
    <w:link w:val="5"/>
    <w:semiHidden/>
    <w:qFormat/>
    <w:uiPriority w:val="99"/>
    <w:rPr>
      <w:sz w:val="18"/>
      <w:szCs w:val="18"/>
    </w:rPr>
  </w:style>
  <w:style w:type="character" w:customStyle="1" w:styleId="19">
    <w:name w:val="页脚 字符"/>
    <w:basedOn w:val="11"/>
    <w:link w:val="6"/>
    <w:qFormat/>
    <w:uiPriority w:val="99"/>
    <w:rPr>
      <w:sz w:val="18"/>
      <w:szCs w:val="18"/>
    </w:rPr>
  </w:style>
  <w:style w:type="character" w:customStyle="1" w:styleId="20">
    <w:name w:val="纯文本 Char1"/>
    <w:qFormat/>
    <w:locked/>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sv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2.xml><?xml version="1.0" encoding="utf-8"?>
<contractReview xmlns="http://schemas.wps.cn/vas-ai-hub/contract-review">
  <reviewItems>
    <reviewItem>
      <errorID>d12def25-7deb-4e17-9a07-52bbaef8a982</errorID>
      <errorWord>如如</errorWord>
      <group>L1_Word</group>
      <groupName>字词问题</groupName>
      <ability>L2_Typo</ability>
      <abilityName>字词错误</abilityName>
      <candidateList>
        <item>如</item>
      </candidateList>
      <explain/>
      <paraID>779BF340</paraID>
      <start>27</start>
      <end>28</end>
      <status>modified</status>
      <modifiedWord>如</modifiedWord>
      <trackRevisions>false</trackRevisions>
    </reviewItem>
    <reviewItem>
      <errorID>e01e02cd-8903-4217-86de-b560be395f11</errorID>
      <errorWord>、</errorWord>
      <group>L1_Punc</group>
      <groupName>标点问题</groupName>
      <ability>L2_Punc</ability>
      <abilityName>标点符号检查</abilityName>
      <candidateList>
        <item>.</item>
      </candidateList>
      <explain/>
      <paraID>4DEC2C28</paraID>
      <start>1</start>
      <end>2</end>
      <status>unmodified</status>
      <modifiedWord/>
      <trackRevisions>false</trackRevisions>
    </reviewItem>
    <reviewItem>
      <errorID>b220d6ed-42e1-460a-ba00-120caf8e6a26</errorID>
      <errorWord>(</errorWord>
      <group>L1_Format</group>
      <groupName>格式问题</groupName>
      <ability>L2_HalfPunc</ability>
      <abilityName>全半角检查</abilityName>
      <candidateList>
        <item>（</item>
      </candidateList>
      <explain>文本全半角错误。</explain>
      <paraID>1ABC1FD0</paraID>
      <start>3</start>
      <end>4</end>
      <status>unmodified</status>
      <modifiedWord/>
      <trackRevisions>false</trackRevisions>
    </reviewItem>
    <reviewItem>
      <errorID>ff76b8e4-4a19-4436-86b6-12fe044c6f26</errorID>
      <errorWord>)</errorWord>
      <group>L1_Format</group>
      <groupName>格式问题</groupName>
      <ability>L2_HalfPunc</ability>
      <abilityName>全半角检查</abilityName>
      <candidateList>
        <item>）</item>
      </candidateList>
      <explain>文本全半角错误。</explain>
      <paraID>1ABC1FD0</paraID>
      <start>7</start>
      <end>8</end>
      <status>unmodified</status>
      <modifiedWord/>
      <trackRevisions>false</trackRevisions>
    </reviewItem>
    <reviewItem>
      <errorID>68f6a29d-7127-474f-84c7-fc701ac5f945</errorID>
      <errorWord>(</errorWord>
      <group>L1_Format</group>
      <groupName>格式问题</groupName>
      <ability>L2_HalfPunc</ability>
      <abilityName>全半角检查</abilityName>
      <candidateList>
        <item>（</item>
      </candidateList>
      <explain>文本全半角错误。</explain>
      <paraID>1ABC1FD0</paraID>
      <start>14</start>
      <end>15</end>
      <status>unmodified</status>
      <modifiedWord/>
      <trackRevisions>false</trackRevisions>
    </reviewItem>
    <reviewItem>
      <errorID>7b9e0083-3c2c-46ec-9daa-9bea46456133</errorID>
      <errorWord>)</errorWord>
      <group>L1_Format</group>
      <groupName>格式问题</groupName>
      <ability>L2_HalfPunc</ability>
      <abilityName>全半角检查</abilityName>
      <candidateList>
        <item>）</item>
      </candidateList>
      <explain>文本全半角错误。</explain>
      <paraID>1ABC1FD0</paraID>
      <start>24</start>
      <end>25</end>
      <status>unmodified</status>
      <modifiedWord/>
      <trackRevisions>false</trackRevisions>
    </reviewItem>
    <reviewItem>
      <errorID>0650f508-6843-40ef-99f2-3a98ba7ee3dd</errorID>
      <errorWord>(</errorWord>
      <group>L1_Format</group>
      <groupName>格式问题</groupName>
      <ability>L2_HalfPunc</ability>
      <abilityName>全半角检查</abilityName>
      <candidateList>
        <item>（</item>
      </candidateList>
      <explain>文本全半角错误。</explain>
      <paraID>3B2EAAF5</paraID>
      <start>4</start>
      <end>5</end>
      <status>unmodified</status>
      <modifiedWord/>
      <trackRevisions>false</trackRevisions>
    </reviewItem>
    <reviewItem>
      <errorID>b5a60297-a813-4b0c-ac2c-e28771792689</errorID>
      <errorWord>)</errorWord>
      <group>L1_Format</group>
      <groupName>格式问题</groupName>
      <ability>L2_HalfPunc</ability>
      <abilityName>全半角检查</abilityName>
      <candidateList>
        <item>）</item>
      </candidateList>
      <explain>文本全半角错误。</explain>
      <paraID>3B2EAAF5</paraID>
      <start>9</start>
      <end>10</end>
      <status>unmodified</status>
      <modifiedWord/>
      <trackRevisions>false</trackRevisions>
    </reviewItem>
    <reviewItem>
      <errorID>46772e7b-5765-4acf-b037-fa18d9453252</errorID>
      <errorWord>(</errorWord>
      <group>L1_Format</group>
      <groupName>格式问题</groupName>
      <ability>L2_HalfPunc</ability>
      <abilityName>全半角检查</abilityName>
      <candidateList>
        <item>（</item>
      </candidateList>
      <explain>文本全半角错误。</explain>
      <paraID>3B2EAAF5</paraID>
      <start>17</start>
      <end>18</end>
      <status>unmodified</status>
      <modifiedWord/>
      <trackRevisions>false</trackRevisions>
    </reviewItem>
    <reviewItem>
      <errorID>cd443eda-80d6-46da-af04-b3a386dace6f</errorID>
      <errorWord>)</errorWord>
      <group>L1_Format</group>
      <groupName>格式问题</groupName>
      <ability>L2_HalfPunc</ability>
      <abilityName>全半角检查</abilityName>
      <candidateList>
        <item>）</item>
      </candidateList>
      <explain>文本全半角错误。</explain>
      <paraID>3B2EAAF5</paraID>
      <start>21</start>
      <end>22</end>
      <status>unmodified</status>
      <modifiedWord/>
      <trackRevisions>false</trackRevisions>
    </reviewItem>
    <reviewItem>
      <errorID>87152e4c-57ba-4692-8993-dc36eea7fc67</errorID>
      <errorWord>)</errorWord>
      <group>L1_Format</group>
      <groupName>格式问题</groupName>
      <ability>L2_HalfPunc</ability>
      <abilityName>全半角检查</abilityName>
      <candidateList>
        <item>）</item>
      </candidateList>
      <explain>文本全半角错误。</explain>
      <paraID>3530B1FF</paraID>
      <start>7</start>
      <end>8</end>
      <status>unmodified</status>
      <modifiedWord/>
      <trackRevisions>false</trackRevisions>
    </reviewItem>
    <reviewItem>
      <errorID>332de233-b668-4211-b0ee-18bb3488d43f</errorID>
      <errorWord>(</errorWord>
      <group>L1_Format</group>
      <groupName>格式问题</groupName>
      <ability>L2_HalfPunc</ability>
      <abilityName>全半角检查</abilityName>
      <candidateList>
        <item>（</item>
      </candidateList>
      <explain>文本全半角错误。</explain>
      <paraID>6F250DC1</paraID>
      <start>8</start>
      <end>9</end>
      <status>unmodified</status>
      <modifiedWord/>
      <trackRevisions>false</trackRevisions>
    </reviewItem>
    <reviewItem>
      <errorID>4ead5a92-afce-4e68-9ece-c72b58e67106</errorID>
      <errorWord>)</errorWord>
      <group>L1_Format</group>
      <groupName>格式问题</groupName>
      <ability>L2_HalfPunc</ability>
      <abilityName>全半角检查</abilityName>
      <candidateList>
        <item>）</item>
      </candidateList>
      <explain>文本全半角错误。</explain>
      <paraID>6F250DC1</paraID>
      <start>17</start>
      <end>18</end>
      <status>unmodified</status>
      <modifiedWord/>
      <trackRevisions>false</trackRevisions>
    </reviewItem>
    <reviewItem>
      <errorID>182697b5-5bff-4f1c-9d98-7dacbd551314</errorID>
      <errorWord>(</errorWord>
      <group>L1_Format</group>
      <groupName>格式问题</groupName>
      <ability>L2_HalfPunc</ability>
      <abilityName>全半角检查</abilityName>
      <candidateList>
        <item>（</item>
      </candidateList>
      <explain>文本全半角错误。</explain>
      <paraID>6F250DC1</paraID>
      <start>27</start>
      <end>28</end>
      <status>unmodified</status>
      <modifiedWord/>
      <trackRevisions>false</trackRevisions>
    </reviewItem>
    <reviewItem>
      <errorID>39ec0ea7-7671-4393-9b81-55d8014f52e5</errorID>
      <errorWord>)</errorWord>
      <group>L1_Format</group>
      <groupName>格式问题</groupName>
      <ability>L2_HalfPunc</ability>
      <abilityName>全半角检查</abilityName>
      <candidateList>
        <item>）</item>
      </candidateList>
      <explain>文本全半角错误。</explain>
      <paraID>6F250DC1</paraID>
      <start>35</start>
      <end>36</end>
      <status>unmodified</status>
      <modifiedWord/>
      <trackRevisions>false</trackRevisions>
    </reviewItem>
    <reviewItem>
      <errorID>5ffc8e63-b6a0-4cc2-a063-86065e3dbe97</errorID>
      <errorWord>(</errorWord>
      <group>L1_Format</group>
      <groupName>格式问题</groupName>
      <ability>L2_HalfPunc</ability>
      <abilityName>全半角检查</abilityName>
      <candidateList>
        <item>（</item>
      </candidateList>
      <explain>文本全半角错误。</explain>
      <paraID>6F250DC1</paraID>
      <start>45</start>
      <end>46</end>
      <status>unmodified</status>
      <modifiedWord/>
      <trackRevisions>false</trackRevisions>
    </reviewItem>
    <reviewItem>
      <errorID>c9428bea-a111-4f76-97b1-0f92403bd56b</errorID>
      <errorWord>)</errorWord>
      <group>L1_Format</group>
      <groupName>格式问题</groupName>
      <ability>L2_HalfPunc</ability>
      <abilityName>全半角检查</abilityName>
      <candidateList>
        <item>）</item>
      </candidateList>
      <explain>文本全半角错误。</explain>
      <paraID>6F250DC1</paraID>
      <start>51</start>
      <end>52</end>
      <status>unmodified</status>
      <modifiedWord/>
      <trackRevisions>false</trackRevisions>
    </reviewItem>
    <reviewItem>
      <errorID>6c78ee3f-4f70-475f-bacc-b22dd8099eb8</errorID>
      <errorWord>(</errorWord>
      <group>L1_Format</group>
      <groupName>格式问题</groupName>
      <ability>L2_HalfPunc</ability>
      <abilityName>全半角检查</abilityName>
      <candidateList>
        <item>（</item>
      </candidateList>
      <explain>文本全半角错误。</explain>
      <paraID>66D23768</paraID>
      <start>6</start>
      <end>7</end>
      <status>unmodified</status>
      <modifiedWord/>
      <trackRevisions>false</trackRevisions>
    </reviewItem>
    <reviewItem>
      <errorID>3bb63374-23e1-4850-b831-44bb267c8857</errorID>
      <errorWord>)</errorWord>
      <group>L1_Format</group>
      <groupName>格式问题</groupName>
      <ability>L2_HalfPunc</ability>
      <abilityName>全半角检查</abilityName>
      <candidateList>
        <item>）</item>
      </candidateList>
      <explain>文本全半角错误。</explain>
      <paraID>66D23768</paraID>
      <start>16</start>
      <end>17</end>
      <status>unmodified</status>
      <modifiedWord/>
      <trackRevisions>false</trackRevisions>
    </reviewItem>
    <reviewItem>
      <errorID>f45b0fae-ecf4-4338-8cb0-b4b53c2ff80c</errorID>
      <errorWord>(</errorWord>
      <group>L1_Format</group>
      <groupName>格式问题</groupName>
      <ability>L2_HalfPunc</ability>
      <abilityName>全半角检查</abilityName>
      <candidateList>
        <item>（</item>
      </candidateList>
      <explain>文本全半角错误。</explain>
      <paraID>66D23768</paraID>
      <start>25</start>
      <end>26</end>
      <status>unmodified</status>
      <modifiedWord/>
      <trackRevisions>false</trackRevisions>
    </reviewItem>
    <reviewItem>
      <errorID>b5ba9339-9425-4082-b960-41dde6acc729</errorID>
      <errorWord>)</errorWord>
      <group>L1_Format</group>
      <groupName>格式问题</groupName>
      <ability>L2_HalfPunc</ability>
      <abilityName>全半角检查</abilityName>
      <candidateList>
        <item>）</item>
      </candidateList>
      <explain>文本全半角错误。</explain>
      <paraID>66D23768</paraID>
      <start>36</start>
      <end>37</end>
      <status>unmodified</status>
      <modifiedWord/>
      <trackRevisions>false</trackRevisions>
    </reviewItem>
    <reviewItem>
      <errorID>72d2a4d9-b42a-4fd3-9097-10b7e392e8ce</errorID>
      <errorWord>(</errorWord>
      <group>L1_Format</group>
      <groupName>格式问题</groupName>
      <ability>L2_HalfPunc</ability>
      <abilityName>全半角检查</abilityName>
      <candidateList>
        <item>（</item>
      </candidateList>
      <explain>文本全半角错误。</explain>
      <paraID>66D23768</paraID>
      <start>46</start>
      <end>47</end>
      <status>unmodified</status>
      <modifiedWord/>
      <trackRevisions>false</trackRevisions>
    </reviewItem>
    <reviewItem>
      <errorID>5c9452b5-9d26-49f7-93c3-c308d8f0dd49</errorID>
      <errorWord>)</errorWord>
      <group>L1_Format</group>
      <groupName>格式问题</groupName>
      <ability>L2_HalfPunc</ability>
      <abilityName>全半角检查</abilityName>
      <candidateList>
        <item>）</item>
      </candidateList>
      <explain>文本全半角错误。</explain>
      <paraID>66D23768</paraID>
      <start>59</start>
      <end>60</end>
      <status>unmodified</status>
      <modifiedWord/>
      <trackRevisions>false</trackRevisions>
    </reviewItem>
    <reviewItem>
      <errorID>91c2514c-f035-4898-9dc4-4513ae306c5b</errorID>
      <errorWord>(</errorWord>
      <group>L1_Format</group>
      <groupName>格式问题</groupName>
      <ability>L2_HalfPunc</ability>
      <abilityName>全半角检查</abilityName>
      <candidateList>
        <item>（</item>
      </candidateList>
      <explain>文本全半角错误。</explain>
      <paraID> B53606B</paraID>
      <start>13</start>
      <end>14</end>
      <status>unmodified</status>
      <modifiedWord/>
      <trackRevisions>false</trackRevisions>
    </reviewItem>
    <reviewItem>
      <errorID>d1880b77-69e1-4856-aac3-9843946bbee5</errorID>
      <errorWord>)</errorWord>
      <group>L1_Format</group>
      <groupName>格式问题</groupName>
      <ability>L2_HalfPunc</ability>
      <abilityName>全半角检查</abilityName>
      <candidateList>
        <item>）</item>
      </candidateList>
      <explain>文本全半角错误。</explain>
      <paraID> B53606B</paraID>
      <start>29</start>
      <end>30</end>
      <status>unmodified</status>
      <modifiedWord/>
      <trackRevisions>false</trackRevisions>
    </reviewItem>
    <reviewItem>
      <errorID>9f7bde90-4316-4cba-b062-a36a6c54b6e6</errorID>
      <errorWord>(</errorWord>
      <group>L1_Format</group>
      <groupName>格式问题</groupName>
      <ability>L2_HalfPunc</ability>
      <abilityName>全半角检查</abilityName>
      <candidateList>
        <item>（</item>
      </candidateList>
      <explain>文本全半角错误。</explain>
      <paraID> B53606B</paraID>
      <start>39</start>
      <end>40</end>
      <status>unmodified</status>
      <modifiedWord/>
      <trackRevisions>false</trackRevisions>
    </reviewItem>
    <reviewItem>
      <errorID>1d25f4ee-3497-40d7-829a-790132ae8854</errorID>
      <errorWord>)</errorWord>
      <group>L1_Format</group>
      <groupName>格式问题</groupName>
      <ability>L2_HalfPunc</ability>
      <abilityName>全半角检查</abilityName>
      <candidateList>
        <item>）</item>
      </candidateList>
      <explain>文本全半角错误。</explain>
      <paraID> B53606B</paraID>
      <start>47</start>
      <end>48</end>
      <status>unmodified</status>
      <modifiedWord/>
      <trackRevisions>false</trackRevisions>
    </reviewItem>
    <reviewItem>
      <errorID>0140553d-5b69-4047-b6db-8085a76159b9</errorID>
      <errorWord>(</errorWord>
      <group>L1_Format</group>
      <groupName>格式问题</groupName>
      <ability>L2_HalfPunc</ability>
      <abilityName>全半角检查</abilityName>
      <candidateList>
        <item>（</item>
      </candidateList>
      <explain>文本全半角错误。</explain>
      <paraID>206F43BE</paraID>
      <start>36</start>
      <end>37</end>
      <status>unmodified</status>
      <modifiedWord/>
      <trackRevisions>false</trackRevisions>
    </reviewItem>
    <reviewItem>
      <errorID>85347387-61f4-4754-852c-0108aa15ad27</errorID>
      <errorWord>)</errorWord>
      <group>L1_Format</group>
      <groupName>格式问题</groupName>
      <ability>L2_HalfPunc</ability>
      <abilityName>全半角检查</abilityName>
      <candidateList>
        <item>）</item>
      </candidateList>
      <explain>文本全半角错误。</explain>
      <paraID>206F43BE</paraID>
      <start>41</start>
      <end>42</end>
      <status>unmodified</status>
      <modifiedWord/>
      <trackRevisions>false</trackRevisions>
    </reviewItem>
    <reviewItem>
      <errorID>3942b90b-e293-47ee-ad52-d7a6b4ffccd2</errorID>
      <errorWord>-</errorWord>
      <group>L1_Format</group>
      <groupName>格式问题</groupName>
      <ability>L2_HalfPunc</ability>
      <abilityName>全半角检查</abilityName>
      <candidateList>
        <item>－</item>
      </candidateList>
      <explain>文本全半角错误。</explain>
      <paraID>2BA11FF8</paraID>
      <start>20</start>
      <end>21</end>
      <status>unmodified</status>
      <modifiedWord/>
      <trackRevisions>false</trackRevisions>
    </reviewItem>
    <reviewItem>
      <errorID>22f27c91-76ae-4356-8206-942358978029</errorID>
      <errorWord>-</errorWord>
      <group>L1_Format</group>
      <groupName>格式问题</groupName>
      <ability>L2_HalfPunc</ability>
      <abilityName>全半角检查</abilityName>
      <candidateList>
        <item>－</item>
      </candidateList>
      <explain>文本全半角错误。</explain>
      <paraID>2BA11FF8</paraID>
      <start>32</start>
      <end>33</end>
      <status>unmodified</status>
      <modifiedWord/>
      <trackRevisions>false</trackRevisions>
    </reviewItem>
    <reviewItem>
      <errorID>3a1dcce6-48e8-45d3-8915-6c64361990ee</errorID>
      <errorWord>间</errorWord>
      <group>L1_Word</group>
      <groupName>字词问题</groupName>
      <ability>L2_Typo</ability>
      <abilityName>字词错误</abilityName>
      <candidateList>
        <item>间结</item>
      </candidateList>
      <explain/>
      <paraID>312B0CA9</paraID>
      <start>42</start>
      <end>44</end>
      <status>modified</status>
      <modifiedWord>间结</modifiedWord>
      <trackRevisions>false</trackRevisions>
    </reviewItem>
    <reviewItem>
      <errorID>158597ed-e915-40c5-a398-e7ccf89a5141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63DAAD66</paraID>
      <start>0</start>
      <end>3</end>
      <status>unmodified</status>
      <modifiedWord/>
      <trackRevisions>false</trackRevisions>
    </reviewItem>
    <reviewItem>
      <errorID>db1a2073-0785-405e-a2dd-3f558ca26565</errorID>
      <errorWord>;</errorWord>
      <group>L1_Format</group>
      <groupName>格式问题</groupName>
      <ability>L2_HalfPunc</ability>
      <abilityName>全半角检查</abilityName>
      <candidateList>
        <item>；</item>
      </candidateList>
      <explain>文本全半角错误。</explain>
      <paraID>63DAAD66</paraID>
      <start>21</start>
      <end>22</end>
      <status>unmodified</status>
      <modifiedWord/>
      <trackRevisions>false</trackRevisions>
    </reviewItem>
    <reviewItem>
      <errorID>27f5d4a0-539c-4944-8e4a-35f0a64f49e7</errorID>
      <errorWord>;</errorWord>
      <group>L1_Format</group>
      <groupName>格式问题</groupName>
      <ability>L2_HalfPunc</ability>
      <abilityName>全半角检查</abilityName>
      <candidateList>
        <item>；</item>
      </candidateList>
      <explain>文本全半角错误。</explain>
      <paraID>63DAAD66</paraID>
      <start>30</start>
      <end>31</end>
      <status>unmodified</status>
      <modifiedWord/>
      <trackRevisions>false</trackRevisions>
    </reviewItem>
    <reviewItem>
      <errorID>c0069d74-0e9d-434d-9ac6-c99d0d87fae9</errorID>
      <errorWord>)</errorWord>
      <group>L1_Format</group>
      <groupName>格式问题</groupName>
      <ability>L2_HalfPunc</ability>
      <abilityName>全半角检查</abilityName>
      <candidateList>
        <item>）</item>
      </candidateList>
      <explain>文本全半角错误。</explain>
      <paraID>63DAAD66</paraID>
      <start>45</start>
      <end>46</end>
      <status>unmodified</status>
      <modifiedWord/>
      <trackRevisions>false</trackRevisions>
    </reviewItem>
    <reviewItem>
      <errorID>e75bdcb1-fe4c-4690-baca-82c21f6cfbe0</errorID>
      <errorWord>;</errorWord>
      <group>L1_Format</group>
      <groupName>格式问题</groupName>
      <ability>L2_HalfPunc</ability>
      <abilityName>全半角检查</abilityName>
      <candidateList>
        <item>；</item>
      </candidateList>
      <explain>文本全半角错误。</explain>
      <paraID>63DAAD66</paraID>
      <start>58</start>
      <end>59</end>
      <status>unmodified</status>
      <modifiedWord/>
      <trackRevisions>false</trackRevisions>
    </reviewItem>
    <reviewItem>
      <errorID>0eca199d-d9be-4940-9c4d-df7f96d9c4a4</errorID>
      <errorWord>)</errorWord>
      <group>L1_Format</group>
      <groupName>格式问题</groupName>
      <ability>L2_HalfPunc</ability>
      <abilityName>全半角检查</abilityName>
      <candidateList>
        <item>）</item>
      </candidateList>
      <explain>文本全半角错误。</explain>
      <paraID>63DAAD66</paraID>
      <start>75</start>
      <end>76</end>
      <status>unmodified</status>
      <modifiedWord/>
      <trackRevisions>false</trackRevisions>
    </reviewItem>
    <reviewItem>
      <errorID>6c3c8169-6b92-4d1d-ba9c-16fcf2dad71b</errorID>
      <errorWord>,</errorWord>
      <group>L1_Format</group>
      <groupName>格式问题</groupName>
      <ability>L2_HalfPunc</ability>
      <abilityName>全半角检查</abilityName>
      <candidateList>
        <item>，</item>
      </candidateList>
      <explain>文本全半角错误。</explain>
      <paraID>5FBA9DAF</paraID>
      <start>11</start>
      <end>12</end>
      <status>unmodified</status>
      <modifiedWord/>
      <trackRevisions>false</trackRevisions>
    </reviewItem>
    <reviewItem>
      <errorID>e4464381-ac39-4867-8c3e-7d9f22d1746a</errorID>
      <errorWord>,</errorWord>
      <group>L1_Format</group>
      <groupName>格式问题</groupName>
      <ability>L2_HalfPunc</ability>
      <abilityName>全半角检查</abilityName>
      <candidateList>
        <item>，</item>
      </candidateList>
      <explain>文本全半角错误。</explain>
      <paraID> EBAA859</paraID>
      <start>10</start>
      <end>11</end>
      <status>unmodified</status>
      <modifiedWord/>
      <trackRevisions>false</trackRevisions>
    </reviewItem>
    <reviewItem>
      <errorID>b5765f40-0a08-441e-8a44-2f1791ed5c2b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79CB1C23</paraID>
      <start>0</start>
      <end>3</end>
      <status>unmodified</status>
      <modifiedWord/>
      <trackRevisions>false</trackRevisions>
    </reviewItem>
    <reviewItem>
      <errorID>f9d8412b-7240-4e8f-9d76-6e1e49e525c0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2358DA33</paraID>
      <start>0</start>
      <end>3</end>
      <status>unmodified</status>
      <modifiedWord/>
      <trackRevisions>false</trackRevisions>
    </reviewItem>
    <reviewItem>
      <errorID>faa48dc0-c16c-433d-b4e2-1821239905a4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3ACECFE2</paraID>
      <start>0</start>
      <end>3</end>
      <status>unmodified</status>
      <modifiedWord/>
      <trackRevisions>false</trackRevisions>
    </reviewItem>
    <reviewItem>
      <errorID>2d3c071e-60af-40fa-bd26-bee85939041b</errorID>
      <errorWord>(</errorWord>
      <group>L1_Format</group>
      <groupName>格式问题</groupName>
      <ability>L2_HalfPunc</ability>
      <abilityName>全半角检查</abilityName>
      <candidateList>
        <item>（</item>
      </candidateList>
      <explain>文本全半角错误。</explain>
      <paraID>2CD00F48</paraID>
      <start>4</start>
      <end>5</end>
      <status>unmodified</status>
      <modifiedWord/>
      <trackRevisions>false</trackRevisions>
    </reviewItem>
    <reviewItem>
      <errorID>10709db7-b942-4467-aee1-8b47152a008a</errorID>
      <errorWord>)</errorWord>
      <group>L1_Format</group>
      <groupName>格式问题</groupName>
      <ability>L2_HalfPunc</ability>
      <abilityName>全半角检查</abilityName>
      <candidateList>
        <item>）</item>
      </candidateList>
      <explain>文本全半角错误。</explain>
      <paraID>2CD00F48</paraID>
      <start>12</start>
      <end>13</end>
      <status>unmodified</status>
      <modifiedWord/>
      <trackRevisions>false</trackRevisions>
    </reviewItem>
    <reviewItem>
      <errorID>0116b141-85eb-44fd-aef2-bfa3cb20c7a9</errorID>
      <errorWord>其它物质</errorWord>
      <group>L1_Word</group>
      <groupName>字词问题</groupName>
      <ability>L2_Alias</ability>
      <abilityName>也作/曾用词</abilityName>
      <candidateList>
        <item>其他物质</item>
      </candidateList>
      <explain>词汇[其它物质]为不规范表述或旧称，其规范书面表述为[其他物质]。</explain>
      <paraID>7E378BCB</paraID>
      <start>3</start>
      <end>7</end>
      <status>modified</status>
      <modifiedWord>其他物质</modifiedWord>
      <trackRevisions>false</trackRevisions>
    </reviewItem>
    <reviewItem>
      <errorID>6cdbe245-3186-4961-83b7-cf21bdbb7d4c</errorID>
      <errorWord>物质</errorWord>
      <group>L1_Word</group>
      <groupName>字词问题</groupName>
      <ability>L2_Typo</ability>
      <abilityName>字词错误</abilityName>
      <candidateList>
        <item>物资</item>
      </candidateList>
      <explain/>
      <paraID>7CCB1E66</paraID>
      <start>0</start>
      <end>2</end>
      <status>unmodified</status>
      <modifiedWord/>
      <trackRevisions>false</trackRevisions>
    </reviewItem>
    <reviewItem>
      <errorID>3905b41d-52d7-4e7b-bff4-16e59027a666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396E5F2</paraID>
      <start>0</start>
      <end>2</end>
      <status>unmodified</status>
      <modifiedWord/>
      <trackRevisions>false</trackRevisions>
    </reviewItem>
    <reviewItem>
      <errorID>c432df37-0962-4a03-bbee-567ec51770f0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5F83256A</paraID>
      <start>0</start>
      <end>2</end>
      <status>unmodified</status>
      <modifiedWord/>
      <trackRevisions>false</trackRevisions>
    </reviewItem>
    <reviewItem>
      <errorID>15ba4c08-83c4-4539-8219-5d11d9296494</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 5C9B1DC</paraID>
      <start>30</start>
      <end>31</end>
      <status>unmodified</status>
      <modifiedWord/>
      <trackRevisions>false</trackRevisions>
    </reviewItem>
    <reviewItem>
      <errorID>565114b4-f389-4595-a3d4-36a72324413b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670BDBAD</paraID>
      <start>0</start>
      <end>2</end>
      <status>unmodified</status>
      <modifiedWord/>
      <trackRevisions>false</trackRevisions>
    </reviewItem>
    <reviewItem>
      <errorID>c512b3a8-5281-46ee-80ce-9c33dbf211af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3DCA9D37</paraID>
      <start>96</start>
      <end>97</end>
      <status>unmodified</status>
      <modifiedWord/>
      <trackRevisions>false</trackRevisions>
    </reviewItem>
    <reviewItem>
      <errorID>d3eaf2a3-9a01-4156-9a97-e9b81ca65409</errorID>
      <errorWord>、</errorWord>
      <group>L1_Punc</group>
      <groupName>标点问题</groupName>
      <ability>L2_Punc</ability>
      <abilityName>标点符号检查</abilityName>
      <candidateList>
        <item>.</item>
      </candidateList>
      <explain/>
      <paraID>170F9B45</paraID>
      <start>1</start>
      <end>2</end>
      <status>unmodified</status>
      <modifiedWord/>
      <trackRevisions>false</trackRevisions>
    </reviewItem>
    <reviewItem>
      <errorID>05a30787-84eb-459c-a458-a0428020a8b3</errorID>
      <errorWord>、</errorWord>
      <group>L1_Punc</group>
      <groupName>标点问题</groupName>
      <ability>L2_Punc</ability>
      <abilityName>标点符号检查</abilityName>
      <candidateList>
        <item>.</item>
      </candidateList>
      <explain/>
      <paraID>7013F7B4</paraID>
      <start>1</start>
      <end>2</end>
      <status>unmodified</status>
      <modifiedWord/>
      <trackRevisions>false</trackRevisions>
    </reviewItem>
    <reviewItem>
      <errorID>73186278-eecb-40e6-a0c3-f8a8b5973e6b</errorID>
      <errorWord>、</errorWord>
      <group>L1_Punc</group>
      <groupName>标点问题</groupName>
      <ability>L2_Punc</ability>
      <abilityName>标点符号检查</abilityName>
      <candidateList>
        <item>.</item>
      </candidateList>
      <explain/>
      <paraID>7C8443AC</paraID>
      <start>1</start>
      <end>2</end>
      <status>unmodified</status>
      <modifiedWord/>
      <trackRevisions>false</trackRevisions>
    </reviewItem>
    <reviewItem>
      <errorID>2bff3b14-a183-4ef9-88c4-d2be111f03e0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65262D4B</paraID>
      <start>0</start>
      <end>2</end>
      <status>unmodified</status>
      <modifiedWord/>
      <trackRevisions>false</trackRevisions>
    </reviewItem>
    <reviewItem>
      <errorID>1f19d543-54b3-423d-b98d-888d2b68b23f</errorID>
      <errorWord>(</errorWord>
      <group>L1_Format</group>
      <groupName>格式问题</groupName>
      <ability>L2_HalfPunc</ability>
      <abilityName>全半角检查</abilityName>
      <candidateList>
        <item>（</item>
      </candidateList>
      <explain>文本全半角错误。</explain>
      <paraID>65262D4B</paraID>
      <start>56</start>
      <end>57</end>
      <status>unmodified</status>
      <modifiedWord/>
      <trackRevisions>false</trackRevisions>
    </reviewItem>
    <reviewItem>
      <errorID>b428f95d-a2fc-43ca-9676-1e91b322e57c</errorID>
      <errorWord>)</errorWord>
      <group>L1_Format</group>
      <groupName>格式问题</groupName>
      <ability>L2_HalfPunc</ability>
      <abilityName>全半角检查</abilityName>
      <candidateList>
        <item>）</item>
      </candidateList>
      <explain>文本全半角错误。</explain>
      <paraID>65262D4B</paraID>
      <start>59</start>
      <end>60</end>
      <status>unmodified</status>
      <modifiedWord/>
      <trackRevisions>false</trackRevisions>
    </reviewItem>
    <reviewItem>
      <errorID>ec58aa06-e737-44ee-9fd9-223667d6f7b0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421AFD54</paraID>
      <start>0</start>
      <end>2</end>
      <status>unmodified</status>
      <modifiedWord/>
      <trackRevisions>false</trackRevisions>
    </reviewItem>
    <reviewItem>
      <errorID>b1783b69-be1c-4667-a53e-45c8b50951fa</errorID>
      <errorWord>(</errorWord>
      <group>L1_Format</group>
      <groupName>格式问题</groupName>
      <ability>L2_HalfPunc</ability>
      <abilityName>全半角检查</abilityName>
      <candidateList>
        <item>（</item>
      </candidateList>
      <explain>文本全半角错误。</explain>
      <paraID>421AFD54</paraID>
      <start>71</start>
      <end>72</end>
      <status>unmodified</status>
      <modifiedWord/>
      <trackRevisions>false</trackRevisions>
    </reviewItem>
    <reviewItem>
      <errorID>3a517be0-b4c0-4b1e-a0ca-00a483b2e1a0</errorID>
      <errorWord>)</errorWord>
      <group>L1_Format</group>
      <groupName>格式问题</groupName>
      <ability>L2_HalfPunc</ability>
      <abilityName>全半角检查</abilityName>
      <candidateList>
        <item>）</item>
      </candidateList>
      <explain>文本全半角错误。</explain>
      <paraID>421AFD54</paraID>
      <start>79</start>
      <end>80</end>
      <status>unmodified</status>
      <modifiedWord/>
      <trackRevisions>false</trackRevisions>
    </reviewItem>
    <reviewItem>
      <errorID>de7a0bf6-3d8c-4f30-a13a-7db74fefb7c3</errorID>
      <errorWord>(</errorWord>
      <group>L1_Format</group>
      <groupName>格式问题</groupName>
      <ability>L2_HalfPunc</ability>
      <abilityName>全半角检查</abilityName>
      <candidateList>
        <item>（</item>
      </candidateList>
      <explain>文本全半角错误。</explain>
      <paraID>421AFD54</paraID>
      <start>119</start>
      <end>120</end>
      <status>unmodified</status>
      <modifiedWord/>
      <trackRevisions>false</trackRevisions>
    </reviewItem>
    <reviewItem>
      <errorID>68660082-00ea-43f5-b9fa-a474aada2947</errorID>
      <errorWord>)</errorWord>
      <group>L1_Format</group>
      <groupName>格式问题</groupName>
      <ability>L2_HalfPunc</ability>
      <abilityName>全半角检查</abilityName>
      <candidateList>
        <item>）</item>
      </candidateList>
      <explain>文本全半角错误。</explain>
      <paraID>421AFD54</paraID>
      <start>122</start>
      <end>123</end>
      <status>unmodified</status>
      <modifiedWord/>
      <trackRevisions>false</trackRevisions>
    </reviewItem>
    <reviewItem>
      <errorID>33adccb0-f3be-40f4-8d08-9e8df9c73b29</errorID>
      <errorWord>顺面</errorWord>
      <group>L1_Word</group>
      <groupName>字词问题</groupName>
      <ability>L2_Typo</ability>
      <abilityName>字词错误</abilityName>
      <candidateList>
        <item>侧面</item>
      </candidateList>
      <explain/>
      <paraID>3205EC0B</paraID>
      <start>51</start>
      <end>53</end>
      <status>unmodified</status>
      <modifiedWord/>
      <trackRevisions>false</trackRevisions>
    </reviewItem>
    <reviewItem>
      <errorID>f4b82f93-8523-43a4-8ca1-4cd37c86dcc5</errorID>
      <errorWord>(</errorWord>
      <group>L1_Format</group>
      <groupName>格式问题</groupName>
      <ability>L2_HalfPunc</ability>
      <abilityName>全半角检查</abilityName>
      <candidateList>
        <item>（</item>
      </candidateList>
      <explain>文本全半角错误。</explain>
      <paraID>57A95FEA</paraID>
      <start>2</start>
      <end>3</end>
      <status>unmodified</status>
      <modifiedWord/>
      <trackRevisions>false</trackRevisions>
    </reviewItem>
    <reviewItem>
      <errorID>279d7eef-6cd2-4ca4-9943-4c9f165eaac3</errorID>
      <errorWord>)</errorWord>
      <group>L1_Format</group>
      <groupName>格式问题</groupName>
      <ability>L2_HalfPunc</ability>
      <abilityName>全半角检查</abilityName>
      <candidateList>
        <item>）</item>
      </candidateList>
      <explain>文本全半角错误。</explain>
      <paraID>57A95FEA</paraID>
      <start>5</start>
      <end>6</end>
      <status>unmodified</status>
      <modifiedWord/>
      <trackRevisions>false</trackRevisions>
    </reviewItem>
    <reviewItem>
      <errorID>ccd6c6f5-48c8-4437-aa31-abdb5887c19e</errorID>
      <errorWord>、</errorWord>
      <group>L1_Punc</group>
      <groupName>标点问题</groupName>
      <ability>L2_Punc</ability>
      <abilityName>标点符号检查</abilityName>
      <candidateList>
        <item>.</item>
      </candidateList>
      <explain/>
      <paraID>1E96DBDE</paraID>
      <start>1</start>
      <end>2</end>
      <status>unmodified</status>
      <modifiedWord/>
      <trackRevisions>false</trackRevisions>
    </reviewItem>
    <reviewItem>
      <errorID>a1f7d3d1-86ab-4661-9e09-26c9454d7be4</errorID>
      <errorWord>、</errorWord>
      <group>L1_Punc</group>
      <groupName>标点问题</groupName>
      <ability>L2_Punc</ability>
      <abilityName>标点符号检查</abilityName>
      <candidateList>
        <item>.</item>
      </candidateList>
      <explain/>
      <paraID>627A1B46</paraID>
      <start>1</start>
      <end>2</end>
      <status>unmodified</status>
      <modifiedWord/>
      <trackRevisions>false</trackRevisions>
    </reviewItem>
    <reviewItem>
      <errorID>301b835d-6adf-4cf2-b0e5-ac8ce62c6b0e</errorID>
      <errorWord>、</errorWord>
      <group>L1_Punc</group>
      <groupName>标点问题</groupName>
      <ability>L2_Punc</ability>
      <abilityName>标点符号检查</abilityName>
      <candidateList>
        <item>.</item>
      </candidateList>
      <explain/>
      <paraID> 8402443</paraID>
      <start>1</start>
      <end>2</end>
      <status>unmodified</status>
      <modifiedWord/>
      <trackRevisions>false</trackRevisions>
    </reviewItem>
    <reviewItem>
      <errorID>2f412338-c485-433a-be49-78c5f3cb08c1</errorID>
      <errorWord>蛋白是</errorWord>
      <group>L1_Word</group>
      <groupName>字词问题</groupName>
      <ability>L2_Typo</ability>
      <abilityName>字词错误</abilityName>
      <candidateList>
        <item>蛋白质</item>
      </candidateList>
      <explain>存在发音相近字词的误用。</explain>
      <paraID>653A7EB0</paraID>
      <start>7</start>
      <end>10</end>
      <status>unmodified</status>
      <modifiedWord/>
      <trackRevisions>false</trackRevisions>
    </reviewItem>
    <reviewItem>
      <errorID>be2d949a-f88a-40df-b059-978088f5b465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DB16D81</paraID>
      <start>0</start>
      <end>2</end>
      <status>unmodified</status>
      <modifiedWord/>
      <trackRevisions>false</trackRevisions>
    </reviewItem>
    <reviewItem>
      <errorID>be42410d-000a-42ea-8191-88e3b67ede70</errorID>
      <errorWord>(</errorWord>
      <group>L1_Format</group>
      <groupName>格式问题</groupName>
      <ability>L2_HalfPunc</ability>
      <abilityName>全半角检查</abilityName>
      <candidateList>
        <item>（</item>
      </candidateList>
      <explain>文本全半角错误。</explain>
      <paraID> DB16D81</paraID>
      <start>36</start>
      <end>37</end>
      <status>unmodified</status>
      <modifiedWord/>
      <trackRevisions>false</trackRevisions>
    </reviewItem>
    <reviewItem>
      <errorID>8625ff6a-03ba-4fdb-aa2a-a77316a84af1</errorID>
      <errorWord>)</errorWord>
      <group>L1_Format</group>
      <groupName>格式问题</groupName>
      <ability>L2_HalfPunc</ability>
      <abilityName>全半角检查</abilityName>
      <candidateList>
        <item>）</item>
      </candidateList>
      <explain>文本全半角错误。</explain>
      <paraID> DB16D81</paraID>
      <start>39</start>
      <end>40</end>
      <status>unmodified</status>
      <modifiedWord/>
      <trackRevisions>false</trackRevisions>
    </reviewItem>
    <reviewItem>
      <errorID>ca98946d-f072-4f2e-b54c-ccbae1fd1cbc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7F428AF4</paraID>
      <start>0</start>
      <end>2</end>
      <status>unmodified</status>
      <modifiedWord/>
      <trackRevisions>false</trackRevisions>
    </reviewItem>
    <reviewItem>
      <errorID>6ae78662-c09d-4322-9a29-a78409c2d28a</errorID>
      <errorWord>(</errorWord>
      <group>L1_Format</group>
      <groupName>格式问题</groupName>
      <ability>L2_HalfPunc</ability>
      <abilityName>全半角检查</abilityName>
      <candidateList>
        <item>（</item>
      </candidateList>
      <explain>文本全半角错误。</explain>
      <paraID>7F428AF4</paraID>
      <start>83</start>
      <end>84</end>
      <status>unmodified</status>
      <modifiedWord/>
      <trackRevisions>false</trackRevisions>
    </reviewItem>
    <reviewItem>
      <errorID>b969b34e-2d65-4e03-bb6a-972df4ecbdb7</errorID>
      <errorWord>)</errorWord>
      <group>L1_Format</group>
      <groupName>格式问题</groupName>
      <ability>L2_HalfPunc</ability>
      <abilityName>全半角检查</abilityName>
      <candidateList>
        <item>）</item>
      </candidateList>
      <explain>文本全半角错误。</explain>
      <paraID>7F428AF4</paraID>
      <start>86</start>
      <end>87</end>
      <status>unmodified</status>
      <modifiedWord/>
      <trackRevisions>false</trackRevisions>
    </reviewItem>
    <reviewItem>
      <errorID>a866fd0a-c901-4ced-84c9-e1b91989c05d</errorID>
      <errorWord>pH变化</errorWord>
      <group>L1_Word</group>
      <groupName>字词问题</groupName>
      <ability>L2_Typo</ability>
      <abilityName>字词错误</abilityName>
      <candidateList>
        <item>pH值变化</item>
      </candidateList>
      <explain/>
      <paraID>7A9C1A96</paraID>
      <start>20</start>
      <end>24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3f3ef3-c9f8-49c0-ada7-922d7b218369}">
  <ds:schemaRefs/>
</ds:datastoreItem>
</file>

<file path=docProps/app.xml><?xml version="1.0" encoding="utf-8"?>
<Properties xmlns="http://schemas.openxmlformats.org/officeDocument/2006/extended-properties" xmlns:vt="http://schemas.openxmlformats.org/officeDocument/2006/docPropsVTypes">
  <Template>Normal</Template>
  <Pages>18</Pages>
  <Words>1656</Words>
  <Characters>1749</Characters>
  <Lines>115</Lines>
  <Paragraphs>32</Paragraphs>
  <TotalTime>0</TotalTime>
  <ScaleCrop>false</ScaleCrop>
  <LinksUpToDate>false</LinksUpToDate>
  <CharactersWithSpaces>1819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2024-11-26T15:46:00Z</dcterms:created>
  <dc:creator>Administrator</dc:creator>
  <cp:lastModifiedBy>张弥</cp:lastModifiedBy>
  <dcterms:modified xsi:type="dcterms:W3CDTF">2026-04-23T04:45:20Z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2052-12.1.0.25865</vt:lpwstr>
  </property>
  <property fmtid="{D5CDD505-2E9C-101B-9397-08002B2CF9AE}" pid="8" name="ICV">
    <vt:lpwstr>EE91AFBDE54443A480FBE40B0AD4B0F2_12</vt:lpwstr>
  </property>
</Properties>
</file>